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4AF2" w14:textId="77777777" w:rsidR="00EB623B" w:rsidRDefault="00EB623B" w:rsidP="00EB623B">
      <w:pPr>
        <w:jc w:val="center"/>
        <w:rPr>
          <w:sz w:val="52"/>
          <w:szCs w:val="52"/>
        </w:rPr>
      </w:pPr>
    </w:p>
    <w:p w14:paraId="2A1A1D5A" w14:textId="1F3F7088" w:rsidR="00EB623B" w:rsidRPr="003147E4" w:rsidRDefault="00EB623B" w:rsidP="00EB623B">
      <w:pPr>
        <w:jc w:val="center"/>
        <w:rPr>
          <w:sz w:val="52"/>
          <w:szCs w:val="52"/>
        </w:rPr>
      </w:pPr>
      <w:r w:rsidRPr="003147E4">
        <w:rPr>
          <w:sz w:val="52"/>
          <w:szCs w:val="52"/>
        </w:rPr>
        <w:t>《应用统计专业学位授权点建设 202</w:t>
      </w:r>
      <w:r>
        <w:rPr>
          <w:sz w:val="52"/>
          <w:szCs w:val="52"/>
        </w:rPr>
        <w:t>2</w:t>
      </w:r>
      <w:r w:rsidRPr="003147E4">
        <w:rPr>
          <w:sz w:val="52"/>
          <w:szCs w:val="52"/>
        </w:rPr>
        <w:t>年度报告》</w:t>
      </w:r>
    </w:p>
    <w:p w14:paraId="46E4CDDA" w14:textId="77777777" w:rsidR="00EB623B" w:rsidRDefault="00EB623B" w:rsidP="00EB623B"/>
    <w:p w14:paraId="52B9FAF6" w14:textId="77777777" w:rsidR="00EB623B" w:rsidRDefault="00EB623B" w:rsidP="00EB623B"/>
    <w:p w14:paraId="43DD963E" w14:textId="77777777" w:rsidR="00EB623B" w:rsidRDefault="00EB623B" w:rsidP="00EB623B"/>
    <w:p w14:paraId="26D9B16D" w14:textId="77777777" w:rsidR="00EB623B" w:rsidRPr="003147E4" w:rsidRDefault="00EB623B" w:rsidP="00EB623B"/>
    <w:p w14:paraId="08786177" w14:textId="77777777" w:rsidR="00EB623B" w:rsidRDefault="00EB623B" w:rsidP="00EB623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9"/>
        <w:gridCol w:w="4403"/>
      </w:tblGrid>
      <w:tr w:rsidR="00EB623B" w:rsidRPr="005C3BCE" w14:paraId="649B525F" w14:textId="77777777" w:rsidTr="00BD56E4">
        <w:trPr>
          <w:jc w:val="center"/>
        </w:trPr>
        <w:tc>
          <w:tcPr>
            <w:tcW w:w="2179" w:type="dxa"/>
            <w:tcBorders>
              <w:right w:val="single" w:sz="4" w:space="0" w:color="auto"/>
            </w:tcBorders>
            <w:vAlign w:val="bottom"/>
          </w:tcPr>
          <w:p w14:paraId="0D3FD4EC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学位授权点</w:t>
            </w:r>
          </w:p>
          <w:p w14:paraId="64D8082C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4403" w:type="dxa"/>
            <w:tcBorders>
              <w:left w:val="single" w:sz="4" w:space="0" w:color="auto"/>
            </w:tcBorders>
          </w:tcPr>
          <w:p w14:paraId="4EBE60CB" w14:textId="3E709375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NewRomanPS-BoldMT" w:eastAsia="方正小标宋简体" w:hAnsi="TimesNewRomanPS-BoldMT" w:cs="方正小标宋简体"/>
                <w:b/>
                <w:bCs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单位</w:t>
            </w:r>
            <w:r w:rsidRPr="005C3BCE">
              <w:rPr>
                <w:rFonts w:ascii="TimesNewRomanPS-BoldMT" w:eastAsia="方正小标宋简体" w:hAnsi="TimesNewRomanPS-BoldMT" w:cs="方正小标宋简体" w:hint="eastAsia"/>
                <w:b/>
                <w:bCs/>
                <w:kern w:val="0"/>
                <w:sz w:val="30"/>
                <w:szCs w:val="30"/>
              </w:rPr>
              <w:t>：</w:t>
            </w:r>
            <w:r w:rsidR="009E79B2" w:rsidRPr="009E79B2">
              <w:rPr>
                <w:rFonts w:ascii="TimesNewRomanPS-BoldMT" w:eastAsia="方正小标宋简体" w:hAnsi="TimesNewRomanPS-BoldMT" w:cs="方正小标宋简体" w:hint="eastAsia"/>
                <w:kern w:val="0"/>
                <w:sz w:val="30"/>
                <w:szCs w:val="30"/>
              </w:rPr>
              <w:t>中国地质大学（北京）</w:t>
            </w:r>
          </w:p>
          <w:p w14:paraId="7894194B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NewRomanPS-BoldMT" w:eastAsia="方正小标宋简体" w:hAnsi="TimesNewRomanPS-BoldMT" w:cs="方正小标宋简体"/>
                <w:bCs/>
                <w:kern w:val="0"/>
                <w:sz w:val="30"/>
                <w:szCs w:val="30"/>
              </w:rPr>
            </w:pPr>
            <w:r w:rsidRPr="005C3BCE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   </w:t>
            </w:r>
            <w:r w:rsidRPr="00E212D2">
              <w:rPr>
                <w:rFonts w:ascii="楷体_GB2312" w:eastAsia="楷体_GB2312" w:cs="楷体_GB2312" w:hint="eastAsia"/>
                <w:kern w:val="0"/>
                <w:position w:val="-10"/>
                <w:sz w:val="30"/>
                <w:szCs w:val="30"/>
                <w:u w:val="single"/>
              </w:rPr>
              <w:t>数理学院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    </w:t>
            </w:r>
          </w:p>
        </w:tc>
      </w:tr>
      <w:tr w:rsidR="00EB623B" w:rsidRPr="005C3BCE" w14:paraId="57A9336C" w14:textId="77777777" w:rsidTr="00BD56E4">
        <w:trPr>
          <w:trHeight w:val="919"/>
          <w:jc w:val="center"/>
        </w:trPr>
        <w:tc>
          <w:tcPr>
            <w:tcW w:w="2179" w:type="dxa"/>
          </w:tcPr>
          <w:p w14:paraId="35B3F7BB" w14:textId="77777777" w:rsidR="00EB623B" w:rsidRPr="005C3BCE" w:rsidRDefault="00EB623B" w:rsidP="00BD56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4403" w:type="dxa"/>
          </w:tcPr>
          <w:p w14:paraId="54338604" w14:textId="77777777" w:rsidR="00EB623B" w:rsidRPr="005C3BCE" w:rsidRDefault="00EB623B" w:rsidP="00BD56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EB623B" w:rsidRPr="005C3BCE" w14:paraId="58B94139" w14:textId="77777777" w:rsidTr="00BD56E4">
        <w:trPr>
          <w:jc w:val="center"/>
        </w:trPr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14:paraId="1126ACA0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 w:cs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学位授权点</w:t>
            </w:r>
          </w:p>
        </w:tc>
        <w:tc>
          <w:tcPr>
            <w:tcW w:w="4403" w:type="dxa"/>
            <w:tcBorders>
              <w:left w:val="single" w:sz="4" w:space="0" w:color="auto"/>
            </w:tcBorders>
            <w:vAlign w:val="center"/>
          </w:tcPr>
          <w:p w14:paraId="13B9294E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cs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名称：</w:t>
            </w:r>
            <w:r w:rsidRPr="005C3BCE">
              <w:rPr>
                <w:rFonts w:ascii="楷体_GB2312" w:eastAsia="楷体_GB2312" w:cs="楷体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应用统计</w:t>
            </w:r>
          </w:p>
          <w:p w14:paraId="41724B22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cs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代码： 0</w:t>
            </w:r>
            <w:r>
              <w:rPr>
                <w:rFonts w:ascii="楷体_GB2312" w:eastAsia="楷体_GB2312" w:cs="楷体_GB2312"/>
                <w:kern w:val="0"/>
                <w:sz w:val="30"/>
                <w:szCs w:val="30"/>
              </w:rPr>
              <w:t>252</w:t>
            </w:r>
          </w:p>
        </w:tc>
      </w:tr>
      <w:tr w:rsidR="00EB623B" w:rsidRPr="005C3BCE" w14:paraId="596784F3" w14:textId="77777777" w:rsidTr="00BD56E4">
        <w:trPr>
          <w:trHeight w:val="916"/>
          <w:jc w:val="center"/>
        </w:trPr>
        <w:tc>
          <w:tcPr>
            <w:tcW w:w="2179" w:type="dxa"/>
          </w:tcPr>
          <w:p w14:paraId="56081ACC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4403" w:type="dxa"/>
          </w:tcPr>
          <w:p w14:paraId="0FF8DDF4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  <w:u w:val="single"/>
              </w:rPr>
            </w:pPr>
          </w:p>
        </w:tc>
      </w:tr>
      <w:tr w:rsidR="00EB623B" w:rsidRPr="005C3BCE" w14:paraId="77E9E2F7" w14:textId="77777777" w:rsidTr="00BD56E4">
        <w:trPr>
          <w:jc w:val="center"/>
        </w:trPr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14:paraId="736437AA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授权级别</w:t>
            </w:r>
          </w:p>
        </w:tc>
        <w:tc>
          <w:tcPr>
            <w:tcW w:w="4403" w:type="dxa"/>
            <w:tcBorders>
              <w:left w:val="single" w:sz="4" w:space="0" w:color="auto"/>
            </w:tcBorders>
          </w:tcPr>
          <w:p w14:paraId="66B86958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="楷体_GB2312" w:eastAsia="楷体_GB2312"/>
                <w:kern w:val="0"/>
                <w:position w:val="-10"/>
                <w:sz w:val="30"/>
                <w:szCs w:val="30"/>
                <w:u w:val="single"/>
              </w:rPr>
            </w:pPr>
            <w:r w:rsidRPr="005C3BCE">
              <w:rPr>
                <w:rFonts w:ascii="TimesNewRomanPS-BoldMT" w:eastAsia="方正小标宋简体" w:hAnsi="TimesNewRomanPS-BoldMT" w:cs="方正小标宋简体" w:hint="eastAsia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>□</w:t>
            </w:r>
            <w:r w:rsidRPr="005C3BCE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 </w:t>
            </w:r>
            <w:r w:rsidRPr="005C3BCE">
              <w:rPr>
                <w:rFonts w:ascii="楷体_GB2312" w:eastAsia="楷体_GB2312" w:cs="楷体_GB2312" w:hint="eastAsia"/>
                <w:kern w:val="0"/>
                <w:position w:val="-10"/>
                <w:sz w:val="30"/>
                <w:szCs w:val="30"/>
                <w:u w:val="single"/>
              </w:rPr>
              <w:t>博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 </w:t>
            </w:r>
            <w:r w:rsidRPr="005C3BCE">
              <w:rPr>
                <w:rFonts w:ascii="楷体_GB2312" w:eastAsia="楷体_GB2312" w:cs="楷体_GB2312" w:hint="eastAsia"/>
                <w:kern w:val="0"/>
                <w:position w:val="-10"/>
                <w:sz w:val="30"/>
                <w:szCs w:val="30"/>
                <w:u w:val="single"/>
              </w:rPr>
              <w:t>士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         </w:t>
            </w:r>
          </w:p>
          <w:p w14:paraId="4BAE4716" w14:textId="77777777" w:rsidR="00EB623B" w:rsidRPr="005C3BCE" w:rsidRDefault="00EB623B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Wingdings 2" w:eastAsia="MS UI Gothic" w:hAnsi="Wingdings 2" w:cs="方正小标宋简体"/>
                <w:bCs/>
                <w:kern w:val="0"/>
                <w:sz w:val="30"/>
                <w:szCs w:val="30"/>
              </w:rPr>
              <w:t></w:t>
            </w:r>
            <w:r w:rsidRPr="005C3BCE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硕</w:t>
            </w:r>
            <w:r w:rsidRPr="005C3BCE">
              <w:rPr>
                <w:rFonts w:ascii="楷体_GB2312" w:eastAsia="楷体_GB2312" w:cs="楷体_GB2312"/>
                <w:kern w:val="0"/>
                <w:sz w:val="30"/>
                <w:szCs w:val="30"/>
              </w:rPr>
              <w:t xml:space="preserve">  </w:t>
            </w: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士</w:t>
            </w:r>
          </w:p>
        </w:tc>
      </w:tr>
    </w:tbl>
    <w:p w14:paraId="62B524F9" w14:textId="77777777" w:rsidR="00EB623B" w:rsidRDefault="00EB623B" w:rsidP="00EB623B"/>
    <w:p w14:paraId="5A585F6A" w14:textId="77777777" w:rsidR="00EB623B" w:rsidRDefault="00EB623B" w:rsidP="00EB623B"/>
    <w:p w14:paraId="0B51421F" w14:textId="77777777" w:rsidR="00EB623B" w:rsidRDefault="00EB623B" w:rsidP="00EB623B"/>
    <w:p w14:paraId="47626638" w14:textId="77777777" w:rsidR="00EB623B" w:rsidRDefault="00EB623B" w:rsidP="00EB623B"/>
    <w:p w14:paraId="24F84CB6" w14:textId="77777777" w:rsidR="00EB623B" w:rsidRDefault="00EB623B" w:rsidP="00EB623B"/>
    <w:p w14:paraId="64A397D7" w14:textId="4E1FBE78" w:rsidR="00EB623B" w:rsidRDefault="00EB623B" w:rsidP="00EB623B">
      <w:pPr>
        <w:jc w:val="center"/>
        <w:rPr>
          <w:sz w:val="36"/>
          <w:szCs w:val="36"/>
        </w:rPr>
      </w:pPr>
      <w:r w:rsidRPr="003147E4">
        <w:rPr>
          <w:rFonts w:hint="eastAsia"/>
          <w:sz w:val="36"/>
          <w:szCs w:val="36"/>
        </w:rPr>
        <w:t>2</w:t>
      </w:r>
      <w:r w:rsidRPr="003147E4">
        <w:rPr>
          <w:sz w:val="36"/>
          <w:szCs w:val="36"/>
        </w:rPr>
        <w:t>02</w:t>
      </w:r>
      <w:r>
        <w:rPr>
          <w:sz w:val="36"/>
          <w:szCs w:val="36"/>
        </w:rPr>
        <w:t>2</w:t>
      </w:r>
      <w:r w:rsidRPr="003147E4">
        <w:rPr>
          <w:rFonts w:hint="eastAsia"/>
          <w:sz w:val="36"/>
          <w:szCs w:val="36"/>
        </w:rPr>
        <w:t>年1</w:t>
      </w:r>
      <w:r w:rsidRPr="003147E4">
        <w:rPr>
          <w:sz w:val="36"/>
          <w:szCs w:val="36"/>
        </w:rPr>
        <w:t>2</w:t>
      </w:r>
      <w:r w:rsidRPr="003147E4">
        <w:rPr>
          <w:rFonts w:hint="eastAsia"/>
          <w:sz w:val="36"/>
          <w:szCs w:val="36"/>
        </w:rPr>
        <w:t>月</w:t>
      </w:r>
    </w:p>
    <w:p w14:paraId="7304F602" w14:textId="77777777" w:rsidR="00EB623B" w:rsidRDefault="00EB623B" w:rsidP="00EB623B">
      <w:pPr>
        <w:jc w:val="center"/>
        <w:rPr>
          <w:sz w:val="36"/>
          <w:szCs w:val="36"/>
        </w:rPr>
      </w:pPr>
    </w:p>
    <w:p w14:paraId="205EA1F1" w14:textId="77777777" w:rsidR="00EB623B" w:rsidRPr="003147E4" w:rsidRDefault="00EB623B" w:rsidP="00DD4BF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3147E4">
        <w:rPr>
          <w:rFonts w:ascii="黑体" w:eastAsia="黑体" w:hAnsi="黑体"/>
          <w:sz w:val="28"/>
          <w:szCs w:val="28"/>
        </w:rPr>
        <w:lastRenderedPageBreak/>
        <w:t xml:space="preserve">学位授权点建设情况 </w:t>
      </w:r>
    </w:p>
    <w:p w14:paraId="69774DB9" w14:textId="77777777" w:rsidR="00EB623B" w:rsidRPr="003147E4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.</w:t>
      </w:r>
      <w:r w:rsidRPr="003147E4">
        <w:rPr>
          <w:rFonts w:ascii="黑体" w:eastAsia="黑体" w:hAnsi="黑体"/>
          <w:sz w:val="24"/>
          <w:szCs w:val="24"/>
        </w:rPr>
        <w:t>总体概况</w:t>
      </w:r>
    </w:p>
    <w:p w14:paraId="20EDB4BC" w14:textId="77777777" w:rsidR="00EB623B" w:rsidRPr="00EC363E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EC363E">
        <w:rPr>
          <w:rFonts w:ascii="黑体" w:eastAsia="黑体" w:hAnsi="黑体" w:hint="eastAsia"/>
          <w:sz w:val="24"/>
          <w:szCs w:val="24"/>
        </w:rPr>
        <w:t>1</w:t>
      </w:r>
      <w:r w:rsidRPr="00EC363E">
        <w:rPr>
          <w:rFonts w:ascii="黑体" w:eastAsia="黑体" w:hAnsi="黑体"/>
          <w:sz w:val="24"/>
          <w:szCs w:val="24"/>
        </w:rPr>
        <w:t xml:space="preserve">.1 学位授权点基本情况 </w:t>
      </w:r>
    </w:p>
    <w:p w14:paraId="5A3B53CE" w14:textId="7A634B9A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E2E25">
        <w:rPr>
          <w:rFonts w:ascii="宋体" w:eastAsia="宋体" w:hAnsi="宋体" w:hint="eastAsia"/>
          <w:sz w:val="24"/>
          <w:szCs w:val="24"/>
        </w:rPr>
        <w:t>中国地质</w:t>
      </w:r>
      <w:r w:rsidRPr="00DE2E25">
        <w:rPr>
          <w:rFonts w:ascii="宋体" w:eastAsia="宋体" w:hAnsi="宋体"/>
          <w:sz w:val="24"/>
          <w:szCs w:val="24"/>
        </w:rPr>
        <w:t>大学</w:t>
      </w:r>
      <w:r w:rsidRPr="00DE2E25">
        <w:rPr>
          <w:rFonts w:ascii="宋体" w:eastAsia="宋体" w:hAnsi="宋体" w:hint="eastAsia"/>
          <w:sz w:val="24"/>
          <w:szCs w:val="24"/>
        </w:rPr>
        <w:t>（北京）</w:t>
      </w:r>
      <w:r w:rsidRPr="00DE2E25">
        <w:rPr>
          <w:rFonts w:ascii="宋体" w:eastAsia="宋体" w:hAnsi="宋体"/>
          <w:sz w:val="24"/>
          <w:szCs w:val="24"/>
        </w:rPr>
        <w:t>应用统计专业硕士学位于 2018 年获批授权， 2019 年开始招生，培养单位为</w:t>
      </w:r>
      <w:r w:rsidRPr="00DE2E25">
        <w:rPr>
          <w:rFonts w:ascii="宋体" w:eastAsia="宋体" w:hAnsi="宋体" w:hint="eastAsia"/>
          <w:sz w:val="24"/>
          <w:szCs w:val="24"/>
        </w:rPr>
        <w:t>数理</w:t>
      </w:r>
      <w:r w:rsidRPr="00DE2E25">
        <w:rPr>
          <w:rFonts w:ascii="宋体" w:eastAsia="宋体" w:hAnsi="宋体"/>
          <w:sz w:val="24"/>
          <w:szCs w:val="24"/>
        </w:rPr>
        <w:t>学院。 本专业学位设有数据挖掘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E2E25">
        <w:rPr>
          <w:rFonts w:ascii="宋体" w:eastAsia="宋体" w:hAnsi="宋体"/>
          <w:sz w:val="24"/>
          <w:szCs w:val="24"/>
        </w:rPr>
        <w:t xml:space="preserve"> 经济与金融统计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E2E25">
        <w:rPr>
          <w:rFonts w:ascii="宋体" w:eastAsia="宋体" w:hAnsi="宋体"/>
          <w:sz w:val="24"/>
          <w:szCs w:val="24"/>
        </w:rPr>
        <w:t>生物与医学统计</w:t>
      </w:r>
      <w:r>
        <w:rPr>
          <w:rFonts w:ascii="宋体" w:eastAsia="宋体" w:hAnsi="宋体" w:hint="eastAsia"/>
          <w:sz w:val="24"/>
          <w:szCs w:val="24"/>
        </w:rPr>
        <w:t>、</w:t>
      </w:r>
      <w:r w:rsidR="00370A38">
        <w:rPr>
          <w:rFonts w:ascii="宋体" w:eastAsia="宋体" w:hAnsi="宋体" w:hint="eastAsia"/>
          <w:sz w:val="24"/>
          <w:szCs w:val="24"/>
        </w:rPr>
        <w:t>资源环境</w:t>
      </w:r>
      <w:r w:rsidRPr="00DE2E25">
        <w:rPr>
          <w:rFonts w:ascii="宋体" w:eastAsia="宋体" w:hAnsi="宋体"/>
          <w:sz w:val="24"/>
          <w:szCs w:val="24"/>
        </w:rPr>
        <w:t>统计</w:t>
      </w:r>
      <w:r>
        <w:rPr>
          <w:rFonts w:ascii="宋体" w:eastAsia="宋体" w:hAnsi="宋体" w:hint="eastAsia"/>
          <w:sz w:val="24"/>
          <w:szCs w:val="24"/>
        </w:rPr>
        <w:t>4</w:t>
      </w:r>
      <w:r w:rsidRPr="00DE2E25">
        <w:rPr>
          <w:rFonts w:ascii="宋体" w:eastAsia="宋体" w:hAnsi="宋体"/>
          <w:sz w:val="24"/>
          <w:szCs w:val="24"/>
        </w:rPr>
        <w:t xml:space="preserve"> 个专业方向，致力于培养德才兼备、具有家国情怀、</w:t>
      </w:r>
      <w:r w:rsidRPr="00DE2E25">
        <w:rPr>
          <w:rFonts w:ascii="宋体" w:eastAsia="宋体" w:hAnsi="宋体" w:hint="eastAsia"/>
          <w:sz w:val="24"/>
          <w:szCs w:val="24"/>
        </w:rPr>
        <w:t>系统掌握</w:t>
      </w:r>
      <w:r>
        <w:rPr>
          <w:rFonts w:ascii="宋体" w:eastAsia="宋体" w:hAnsi="宋体" w:hint="eastAsia"/>
          <w:sz w:val="24"/>
          <w:szCs w:val="24"/>
        </w:rPr>
        <w:t>统计学的基础知识和方法能够</w:t>
      </w:r>
      <w:r w:rsidRPr="00DE2E25">
        <w:rPr>
          <w:rFonts w:ascii="宋体" w:eastAsia="宋体" w:hAnsi="宋体" w:hint="eastAsia"/>
          <w:sz w:val="24"/>
          <w:szCs w:val="24"/>
        </w:rPr>
        <w:t>在国家机关、企事业单位及科研教学部门从事统计咨询、数据分析、决策支持和信息管理工作</w:t>
      </w:r>
      <w:r>
        <w:rPr>
          <w:rFonts w:ascii="宋体" w:eastAsia="宋体" w:hAnsi="宋体" w:hint="eastAsia"/>
          <w:sz w:val="24"/>
          <w:szCs w:val="24"/>
        </w:rPr>
        <w:t>的</w:t>
      </w:r>
      <w:r w:rsidRPr="00DE2E25">
        <w:rPr>
          <w:rFonts w:ascii="宋体" w:eastAsia="宋体" w:hAnsi="宋体"/>
          <w:sz w:val="24"/>
          <w:szCs w:val="24"/>
        </w:rPr>
        <w:t xml:space="preserve">应用型专门人才。 </w:t>
      </w:r>
    </w:p>
    <w:p w14:paraId="310AF8ED" w14:textId="77777777" w:rsidR="00EB623B" w:rsidRPr="00EC363E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EC363E">
        <w:rPr>
          <w:rFonts w:ascii="黑体" w:eastAsia="黑体" w:hAnsi="黑体"/>
          <w:sz w:val="24"/>
          <w:szCs w:val="24"/>
        </w:rPr>
        <w:t xml:space="preserve">1.2 学科建设情况 </w:t>
      </w:r>
    </w:p>
    <w:p w14:paraId="0CFC75F1" w14:textId="77777777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52592">
        <w:rPr>
          <w:rFonts w:ascii="宋体" w:eastAsia="宋体" w:hAnsi="宋体" w:hint="eastAsia"/>
          <w:sz w:val="24"/>
          <w:szCs w:val="24"/>
        </w:rPr>
        <w:t>数学学科是中国地质大学</w:t>
      </w:r>
      <w:r w:rsidRPr="00152592">
        <w:rPr>
          <w:rFonts w:ascii="宋体" w:eastAsia="宋体" w:hAnsi="宋体"/>
          <w:sz w:val="24"/>
          <w:szCs w:val="24"/>
        </w:rPr>
        <w:t>(北京)设立最早的学科之一，其历史可以追溯到1952年北京地质学院时期成立的数学教研室。2000年开始招收数学与应用数学专业本科生，同年获批应用数学专业的硕士点，招收应用数学专业的硕士研究生；2006年获准招收计算数学方向的硕士研究生；2011年成为数学一级学科硕士学位授权点。</w:t>
      </w:r>
    </w:p>
    <w:p w14:paraId="4C4549DC" w14:textId="77777777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52592">
        <w:rPr>
          <w:rFonts w:ascii="宋体" w:eastAsia="宋体" w:hAnsi="宋体" w:hint="eastAsia"/>
          <w:sz w:val="24"/>
          <w:szCs w:val="24"/>
        </w:rPr>
        <w:t>数学学科由公共数学教学部、应用数学系、数据科学系组成，</w:t>
      </w:r>
      <w:r>
        <w:rPr>
          <w:rFonts w:ascii="宋体" w:eastAsia="宋体" w:hAnsi="宋体" w:hint="eastAsia"/>
          <w:sz w:val="24"/>
          <w:szCs w:val="24"/>
        </w:rPr>
        <w:t>现有</w:t>
      </w:r>
      <w:r w:rsidRPr="00152592">
        <w:rPr>
          <w:rFonts w:ascii="宋体" w:eastAsia="宋体" w:hAnsi="宋体"/>
          <w:sz w:val="24"/>
          <w:szCs w:val="24"/>
        </w:rPr>
        <w:t xml:space="preserve">1个硕士一级授权学科点(数学) 、 2个专业学位硕士点(电子信息、应用统计) </w:t>
      </w:r>
      <w:r>
        <w:rPr>
          <w:rFonts w:ascii="宋体" w:eastAsia="宋体" w:hAnsi="宋体" w:hint="eastAsia"/>
          <w:sz w:val="24"/>
          <w:szCs w:val="24"/>
        </w:rPr>
        <w:t>，两</w:t>
      </w:r>
      <w:r w:rsidRPr="00152592">
        <w:rPr>
          <w:rFonts w:ascii="宋体" w:eastAsia="宋体" w:hAnsi="宋体"/>
          <w:sz w:val="24"/>
          <w:szCs w:val="24"/>
        </w:rPr>
        <w:t>个本科专业（数学与应用数学、数据计算</w:t>
      </w:r>
      <w:r>
        <w:rPr>
          <w:rFonts w:ascii="宋体" w:eastAsia="宋体" w:hAnsi="宋体" w:hint="eastAsia"/>
          <w:sz w:val="24"/>
          <w:szCs w:val="24"/>
        </w:rPr>
        <w:t>及应用（2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年开始招生）</w:t>
      </w:r>
      <w:r w:rsidRPr="00152592">
        <w:rPr>
          <w:rFonts w:ascii="宋体" w:eastAsia="宋体" w:hAnsi="宋体"/>
          <w:sz w:val="24"/>
          <w:szCs w:val="24"/>
        </w:rPr>
        <w:t>） 。</w:t>
      </w:r>
    </w:p>
    <w:p w14:paraId="192F5650" w14:textId="77777777" w:rsidR="00EB623B" w:rsidRPr="00E60B71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E60B71">
        <w:rPr>
          <w:rFonts w:ascii="黑体" w:eastAsia="黑体" w:hAnsi="黑体"/>
          <w:sz w:val="24"/>
          <w:szCs w:val="24"/>
        </w:rPr>
        <w:t xml:space="preserve">1.3 研究生招生基本状况 </w:t>
      </w:r>
    </w:p>
    <w:p w14:paraId="480F094A" w14:textId="0A46EC1B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E2E25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 w:rsidR="00370A38">
        <w:rPr>
          <w:rFonts w:ascii="宋体" w:eastAsia="宋体" w:hAnsi="宋体"/>
          <w:sz w:val="24"/>
          <w:szCs w:val="24"/>
        </w:rPr>
        <w:t>2</w:t>
      </w:r>
      <w:r w:rsidRPr="00DE2E25">
        <w:rPr>
          <w:rFonts w:ascii="宋体" w:eastAsia="宋体" w:hAnsi="宋体"/>
          <w:sz w:val="24"/>
          <w:szCs w:val="24"/>
        </w:rPr>
        <w:t>年本专业</w:t>
      </w:r>
      <w:r>
        <w:rPr>
          <w:rFonts w:ascii="宋体" w:eastAsia="宋体" w:hAnsi="宋体" w:hint="eastAsia"/>
          <w:sz w:val="24"/>
          <w:szCs w:val="24"/>
        </w:rPr>
        <w:t>招收应用统计硕士专业</w:t>
      </w:r>
      <w:r w:rsidRPr="00DE2E25">
        <w:rPr>
          <w:rFonts w:ascii="宋体" w:eastAsia="宋体" w:hAnsi="宋体"/>
          <w:sz w:val="24"/>
          <w:szCs w:val="24"/>
        </w:rPr>
        <w:t>学位</w:t>
      </w:r>
      <w:r>
        <w:rPr>
          <w:rFonts w:ascii="宋体" w:eastAsia="宋体" w:hAnsi="宋体" w:hint="eastAsia"/>
          <w:sz w:val="24"/>
          <w:szCs w:val="24"/>
        </w:rPr>
        <w:t>研究生（全日制和非全日制），</w:t>
      </w:r>
      <w:r w:rsidRPr="00DE2E25">
        <w:rPr>
          <w:rFonts w:ascii="宋体" w:eastAsia="宋体" w:hAnsi="宋体"/>
          <w:sz w:val="24"/>
          <w:szCs w:val="24"/>
        </w:rPr>
        <w:t>录取</w:t>
      </w:r>
      <w:r>
        <w:rPr>
          <w:rFonts w:ascii="宋体" w:eastAsia="宋体" w:hAnsi="宋体" w:hint="eastAsia"/>
          <w:sz w:val="24"/>
          <w:szCs w:val="24"/>
        </w:rPr>
        <w:t>全日制研究生</w:t>
      </w:r>
      <w:r w:rsidR="00370A38">
        <w:rPr>
          <w:rFonts w:ascii="宋体" w:eastAsia="宋体" w:hAnsi="宋体"/>
          <w:sz w:val="24"/>
          <w:szCs w:val="24"/>
        </w:rPr>
        <w:t>21</w:t>
      </w:r>
      <w:r w:rsidRPr="00DE2E25">
        <w:rPr>
          <w:rFonts w:ascii="宋体" w:eastAsia="宋体" w:hAnsi="宋体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，非全日制研究生</w:t>
      </w:r>
      <w:r w:rsidR="00370A38">
        <w:rPr>
          <w:rFonts w:ascii="宋体" w:eastAsia="宋体" w:hAnsi="宋体"/>
          <w:sz w:val="24"/>
          <w:szCs w:val="24"/>
        </w:rPr>
        <w:t>33</w:t>
      </w:r>
      <w:r>
        <w:rPr>
          <w:rFonts w:ascii="宋体" w:eastAsia="宋体" w:hAnsi="宋体" w:hint="eastAsia"/>
          <w:sz w:val="24"/>
          <w:szCs w:val="24"/>
        </w:rPr>
        <w:t>人。截至2</w:t>
      </w:r>
      <w:r>
        <w:rPr>
          <w:rFonts w:ascii="宋体" w:eastAsia="宋体" w:hAnsi="宋体"/>
          <w:sz w:val="24"/>
          <w:szCs w:val="24"/>
        </w:rPr>
        <w:t>02</w:t>
      </w:r>
      <w:r w:rsidR="009E482B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年1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月，共有应用统计专业全日制在校生</w:t>
      </w:r>
      <w:r w:rsidR="009E482B">
        <w:rPr>
          <w:rFonts w:ascii="宋体" w:eastAsia="宋体" w:hAnsi="宋体"/>
          <w:sz w:val="24"/>
          <w:szCs w:val="24"/>
        </w:rPr>
        <w:t>63</w:t>
      </w:r>
      <w:r>
        <w:rPr>
          <w:rFonts w:ascii="宋体" w:eastAsia="宋体" w:hAnsi="宋体" w:hint="eastAsia"/>
          <w:sz w:val="24"/>
          <w:szCs w:val="24"/>
        </w:rPr>
        <w:t>人（1名提前毕业），非全日制</w:t>
      </w:r>
      <w:r w:rsidR="009E482B">
        <w:rPr>
          <w:rFonts w:ascii="宋体" w:eastAsia="宋体" w:hAnsi="宋体"/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人。</w:t>
      </w:r>
    </w:p>
    <w:p w14:paraId="03E427A4" w14:textId="77777777" w:rsidR="00EB623B" w:rsidRPr="00E60B71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E60B71">
        <w:rPr>
          <w:rFonts w:ascii="黑体" w:eastAsia="黑体" w:hAnsi="黑体"/>
          <w:sz w:val="24"/>
          <w:szCs w:val="24"/>
        </w:rPr>
        <w:t xml:space="preserve">1.4 研究生导师队伍总体状况 </w:t>
      </w:r>
    </w:p>
    <w:p w14:paraId="62D16431" w14:textId="21C5B906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0B71">
        <w:rPr>
          <w:rFonts w:ascii="宋体" w:eastAsia="宋体" w:hAnsi="宋体"/>
          <w:sz w:val="24"/>
          <w:szCs w:val="24"/>
        </w:rPr>
        <w:t>截止202</w:t>
      </w:r>
      <w:r w:rsidR="009E482B">
        <w:rPr>
          <w:rFonts w:ascii="宋体" w:eastAsia="宋体" w:hAnsi="宋体"/>
          <w:sz w:val="24"/>
          <w:szCs w:val="24"/>
        </w:rPr>
        <w:t>2</w:t>
      </w:r>
      <w:r w:rsidRPr="00E60B71">
        <w:rPr>
          <w:rFonts w:ascii="宋体" w:eastAsia="宋体" w:hAnsi="宋体"/>
          <w:sz w:val="24"/>
          <w:szCs w:val="24"/>
        </w:rPr>
        <w:t>年12月，</w:t>
      </w:r>
      <w:r>
        <w:rPr>
          <w:rFonts w:ascii="宋体" w:eastAsia="宋体" w:hAnsi="宋体" w:hint="eastAsia"/>
          <w:sz w:val="24"/>
          <w:szCs w:val="24"/>
        </w:rPr>
        <w:t>数学学科拥有</w:t>
      </w:r>
      <w:r w:rsidRPr="00E60B71">
        <w:rPr>
          <w:rFonts w:ascii="宋体" w:eastAsia="宋体" w:hAnsi="宋体" w:hint="eastAsia"/>
          <w:sz w:val="24"/>
          <w:szCs w:val="24"/>
        </w:rPr>
        <w:t>硕士</w:t>
      </w:r>
      <w:r w:rsidRPr="00E60B71">
        <w:rPr>
          <w:rFonts w:ascii="宋体" w:eastAsia="宋体" w:hAnsi="宋体"/>
          <w:sz w:val="24"/>
          <w:szCs w:val="24"/>
        </w:rPr>
        <w:t>导师</w:t>
      </w:r>
      <w:r w:rsidR="009E482B">
        <w:rPr>
          <w:rFonts w:ascii="宋体" w:eastAsia="宋体" w:hAnsi="宋体"/>
          <w:sz w:val="24"/>
          <w:szCs w:val="24"/>
        </w:rPr>
        <w:t>21</w:t>
      </w:r>
      <w:r w:rsidRPr="00E60B71">
        <w:rPr>
          <w:rFonts w:ascii="宋体" w:eastAsia="宋体" w:hAnsi="宋体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，其中</w:t>
      </w:r>
      <w:r w:rsidR="009E482B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名导师在应用统计专业招收研究生，本年度新增</w:t>
      </w:r>
      <w:r w:rsidR="009E482B">
        <w:rPr>
          <w:rFonts w:ascii="宋体" w:eastAsia="宋体" w:hAnsi="宋体" w:hint="eastAsia"/>
          <w:sz w:val="24"/>
          <w:szCs w:val="24"/>
        </w:rPr>
        <w:t>硕士导师3人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5FD8CB0" w14:textId="77777777" w:rsidR="00EB623B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FB1408">
        <w:rPr>
          <w:rFonts w:ascii="黑体" w:eastAsia="黑体" w:hAnsi="黑体"/>
          <w:sz w:val="24"/>
          <w:szCs w:val="24"/>
        </w:rPr>
        <w:t xml:space="preserve">2 </w:t>
      </w:r>
      <w:r w:rsidRPr="00FB1408">
        <w:rPr>
          <w:rFonts w:ascii="黑体" w:eastAsia="黑体" w:hAnsi="黑体" w:hint="eastAsia"/>
          <w:sz w:val="24"/>
          <w:szCs w:val="24"/>
        </w:rPr>
        <w:t>人才培养</w:t>
      </w:r>
    </w:p>
    <w:p w14:paraId="3B0AEA18" w14:textId="77777777" w:rsidR="00EB623B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>
        <w:rPr>
          <w:rFonts w:ascii="黑体" w:eastAsia="黑体" w:hAnsi="黑体"/>
          <w:sz w:val="24"/>
          <w:szCs w:val="24"/>
        </w:rPr>
        <w:t xml:space="preserve">.1 </w:t>
      </w:r>
      <w:r>
        <w:rPr>
          <w:rFonts w:ascii="黑体" w:eastAsia="黑体" w:hAnsi="黑体" w:hint="eastAsia"/>
          <w:sz w:val="24"/>
          <w:szCs w:val="24"/>
        </w:rPr>
        <w:t>与基地专家联合培养研究生</w:t>
      </w:r>
    </w:p>
    <w:p w14:paraId="60BA6ADD" w14:textId="62348A7A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为培养学生专业实践能力，</w:t>
      </w:r>
      <w:r w:rsidR="009E482B">
        <w:rPr>
          <w:rFonts w:ascii="宋体" w:eastAsia="宋体" w:hAnsi="宋体" w:hint="eastAsia"/>
          <w:sz w:val="24"/>
          <w:szCs w:val="24"/>
        </w:rPr>
        <w:t>与基地专家积极展开交流，定期到基地看望联合培养的研究生</w:t>
      </w:r>
      <w:r>
        <w:rPr>
          <w:rFonts w:ascii="宋体" w:eastAsia="宋体" w:hAnsi="宋体" w:hint="eastAsia"/>
          <w:sz w:val="24"/>
          <w:szCs w:val="24"/>
        </w:rPr>
        <w:t>。</w:t>
      </w:r>
      <w:r w:rsidR="00B53E2A">
        <w:rPr>
          <w:rFonts w:ascii="宋体" w:eastAsia="宋体" w:hAnsi="宋体" w:hint="eastAsia"/>
          <w:sz w:val="24"/>
          <w:szCs w:val="24"/>
        </w:rPr>
        <w:t>截至</w:t>
      </w:r>
      <w:r w:rsidR="009E482B">
        <w:rPr>
          <w:rFonts w:ascii="宋体" w:eastAsia="宋体" w:hAnsi="宋体" w:hint="eastAsia"/>
          <w:sz w:val="24"/>
          <w:szCs w:val="24"/>
        </w:rPr>
        <w:t>2</w:t>
      </w:r>
      <w:r w:rsidR="009E482B">
        <w:rPr>
          <w:rFonts w:ascii="宋体" w:eastAsia="宋体" w:hAnsi="宋体"/>
          <w:sz w:val="24"/>
          <w:szCs w:val="24"/>
        </w:rPr>
        <w:t>022</w:t>
      </w:r>
      <w:r w:rsidR="009E482B">
        <w:rPr>
          <w:rFonts w:ascii="宋体" w:eastAsia="宋体" w:hAnsi="宋体" w:hint="eastAsia"/>
          <w:sz w:val="24"/>
          <w:szCs w:val="24"/>
        </w:rPr>
        <w:t>年</w:t>
      </w:r>
      <w:r w:rsidR="00B53E2A">
        <w:rPr>
          <w:rFonts w:ascii="宋体" w:eastAsia="宋体" w:hAnsi="宋体" w:hint="eastAsia"/>
          <w:sz w:val="24"/>
          <w:szCs w:val="24"/>
        </w:rPr>
        <w:t>1</w:t>
      </w:r>
      <w:r w:rsidR="00B53E2A">
        <w:rPr>
          <w:rFonts w:ascii="宋体" w:eastAsia="宋体" w:hAnsi="宋体"/>
          <w:sz w:val="24"/>
          <w:szCs w:val="24"/>
        </w:rPr>
        <w:t>2</w:t>
      </w:r>
      <w:r w:rsidR="00B53E2A">
        <w:rPr>
          <w:rFonts w:ascii="宋体" w:eastAsia="宋体" w:hAnsi="宋体" w:hint="eastAsia"/>
          <w:sz w:val="24"/>
          <w:szCs w:val="24"/>
        </w:rPr>
        <w:t>月</w:t>
      </w:r>
      <w:r w:rsidR="009E482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有</w:t>
      </w:r>
      <w:r w:rsidR="00B53E2A">
        <w:rPr>
          <w:rFonts w:ascii="宋体" w:eastAsia="宋体" w:hAnsi="宋体"/>
          <w:sz w:val="24"/>
          <w:szCs w:val="24"/>
        </w:rPr>
        <w:t>17</w:t>
      </w:r>
      <w:r>
        <w:rPr>
          <w:rFonts w:ascii="宋体" w:eastAsia="宋体" w:hAnsi="宋体" w:hint="eastAsia"/>
          <w:sz w:val="24"/>
          <w:szCs w:val="24"/>
        </w:rPr>
        <w:t>名研究生</w:t>
      </w:r>
      <w:r w:rsidR="00B53E2A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基地学习，由基地1</w:t>
      </w:r>
      <w:r w:rsidR="00B53E2A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名专</w:t>
      </w:r>
      <w:r>
        <w:rPr>
          <w:rFonts w:ascii="宋体" w:eastAsia="宋体" w:hAnsi="宋体" w:hint="eastAsia"/>
          <w:sz w:val="24"/>
          <w:szCs w:val="24"/>
        </w:rPr>
        <w:lastRenderedPageBreak/>
        <w:t>家联合指导。</w:t>
      </w:r>
      <w:r w:rsidR="00B53E2A">
        <w:rPr>
          <w:rFonts w:ascii="宋体" w:eastAsia="宋体" w:hAnsi="宋体" w:hint="eastAsia"/>
          <w:sz w:val="24"/>
          <w:szCs w:val="24"/>
        </w:rPr>
        <w:t>在基地的学生中有1名学生已发表SCI论文1篇，这是本专业联合培养的第一个成果。</w:t>
      </w:r>
    </w:p>
    <w:p w14:paraId="6AA27A46" w14:textId="77777777" w:rsidR="00EB623B" w:rsidRPr="00771E44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771E44">
        <w:rPr>
          <w:rFonts w:ascii="黑体" w:eastAsia="黑体" w:hAnsi="黑体" w:hint="eastAsia"/>
          <w:sz w:val="24"/>
          <w:szCs w:val="24"/>
        </w:rPr>
        <w:t>2</w:t>
      </w:r>
      <w:r w:rsidRPr="00771E44">
        <w:rPr>
          <w:rFonts w:ascii="黑体" w:eastAsia="黑体" w:hAnsi="黑体"/>
          <w:sz w:val="24"/>
          <w:szCs w:val="24"/>
        </w:rPr>
        <w:t xml:space="preserve">.2 </w:t>
      </w:r>
      <w:r w:rsidRPr="00771E44">
        <w:rPr>
          <w:rFonts w:ascii="黑体" w:eastAsia="黑体" w:hAnsi="黑体" w:hint="eastAsia"/>
          <w:sz w:val="24"/>
          <w:szCs w:val="24"/>
        </w:rPr>
        <w:t>课程设置</w:t>
      </w:r>
    </w:p>
    <w:p w14:paraId="7639AF09" w14:textId="4C90DD15" w:rsidR="00EB623B" w:rsidRDefault="00EB623B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</w:t>
      </w:r>
      <w:r w:rsidR="00B53E2A">
        <w:rPr>
          <w:rFonts w:ascii="宋体" w:eastAsia="宋体" w:hAnsi="宋体" w:hint="eastAsia"/>
          <w:sz w:val="24"/>
          <w:szCs w:val="24"/>
        </w:rPr>
        <w:t>执行2</w:t>
      </w:r>
      <w:r w:rsidR="00B53E2A">
        <w:rPr>
          <w:rFonts w:ascii="宋体" w:eastAsia="宋体" w:hAnsi="宋体"/>
          <w:sz w:val="24"/>
          <w:szCs w:val="24"/>
        </w:rPr>
        <w:t>021</w:t>
      </w:r>
      <w:r w:rsidR="00B53E2A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完善修订</w:t>
      </w:r>
      <w:r w:rsidR="00B53E2A">
        <w:rPr>
          <w:rFonts w:ascii="宋体" w:eastAsia="宋体" w:hAnsi="宋体" w:hint="eastAsia"/>
          <w:sz w:val="24"/>
          <w:szCs w:val="24"/>
        </w:rPr>
        <w:t>的新</w:t>
      </w:r>
      <w:r>
        <w:rPr>
          <w:rFonts w:ascii="宋体" w:eastAsia="宋体" w:hAnsi="宋体" w:hint="eastAsia"/>
          <w:sz w:val="24"/>
          <w:szCs w:val="24"/>
        </w:rPr>
        <w:t>培养方案。本年度的《案例实务选讲》</w:t>
      </w:r>
      <w:r w:rsidR="00B53E2A">
        <w:rPr>
          <w:rFonts w:ascii="宋体" w:eastAsia="宋体" w:hAnsi="宋体" w:hint="eastAsia"/>
          <w:sz w:val="24"/>
          <w:szCs w:val="24"/>
        </w:rPr>
        <w:t>继续实行之前的邀请讲座形式，并且加大力度邀请校外专家，欲征集案例集并出版。由于2</w:t>
      </w:r>
      <w:r w:rsidR="00B53E2A">
        <w:rPr>
          <w:rFonts w:ascii="宋体" w:eastAsia="宋体" w:hAnsi="宋体"/>
          <w:sz w:val="24"/>
          <w:szCs w:val="24"/>
        </w:rPr>
        <w:t>022</w:t>
      </w:r>
      <w:r w:rsidR="00B53E2A">
        <w:rPr>
          <w:rFonts w:ascii="宋体" w:eastAsia="宋体" w:hAnsi="宋体" w:hint="eastAsia"/>
          <w:sz w:val="24"/>
          <w:szCs w:val="24"/>
        </w:rPr>
        <w:t>年1</w:t>
      </w:r>
      <w:r w:rsidR="00B53E2A">
        <w:rPr>
          <w:rFonts w:ascii="宋体" w:eastAsia="宋体" w:hAnsi="宋体"/>
          <w:sz w:val="24"/>
          <w:szCs w:val="24"/>
        </w:rPr>
        <w:t>1</w:t>
      </w:r>
      <w:r w:rsidR="00B53E2A">
        <w:rPr>
          <w:rFonts w:ascii="宋体" w:eastAsia="宋体" w:hAnsi="宋体" w:hint="eastAsia"/>
          <w:sz w:val="24"/>
          <w:szCs w:val="24"/>
        </w:rPr>
        <w:t>月校园疫情突发，部分讲座不得不于线上进行。本年度</w:t>
      </w:r>
      <w:r>
        <w:rPr>
          <w:rFonts w:ascii="宋体" w:eastAsia="宋体" w:hAnsi="宋体" w:hint="eastAsia"/>
          <w:sz w:val="24"/>
          <w:szCs w:val="24"/>
        </w:rPr>
        <w:t>共邀请</w:t>
      </w:r>
      <w:r w:rsidR="00B53E2A">
        <w:rPr>
          <w:rFonts w:ascii="宋体" w:eastAsia="宋体" w:hAnsi="宋体" w:hint="eastAsia"/>
          <w:sz w:val="24"/>
          <w:szCs w:val="24"/>
        </w:rPr>
        <w:t>东方国信</w:t>
      </w:r>
      <w:r>
        <w:rPr>
          <w:rFonts w:ascii="宋体" w:eastAsia="宋体" w:hAnsi="宋体" w:hint="eastAsia"/>
          <w:sz w:val="24"/>
          <w:szCs w:val="24"/>
        </w:rPr>
        <w:t>、</w:t>
      </w:r>
      <w:r w:rsidR="00B53E2A" w:rsidRPr="00BC317C">
        <w:rPr>
          <w:rFonts w:ascii="宋体" w:eastAsia="宋体" w:hAnsi="宋体" w:hint="eastAsia"/>
          <w:sz w:val="24"/>
          <w:szCs w:val="24"/>
        </w:rPr>
        <w:t>民主建国会西城区金融委员会</w:t>
      </w:r>
      <w:r w:rsidR="00B53E2A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北京大学、</w:t>
      </w:r>
      <w:r w:rsidR="00BB7863">
        <w:rPr>
          <w:rFonts w:ascii="宋体" w:eastAsia="宋体" w:hAnsi="宋体" w:hint="eastAsia"/>
          <w:sz w:val="24"/>
          <w:szCs w:val="24"/>
        </w:rPr>
        <w:t>北京师范大学</w:t>
      </w:r>
      <w:r>
        <w:rPr>
          <w:rFonts w:ascii="宋体" w:eastAsia="宋体" w:hAnsi="宋体" w:hint="eastAsia"/>
          <w:sz w:val="24"/>
          <w:szCs w:val="24"/>
        </w:rPr>
        <w:t>、</w:t>
      </w:r>
      <w:r w:rsidR="00BB7863">
        <w:rPr>
          <w:rFonts w:ascii="宋体" w:eastAsia="宋体" w:hAnsi="宋体" w:hint="eastAsia"/>
          <w:sz w:val="24"/>
          <w:szCs w:val="24"/>
        </w:rPr>
        <w:t>天津工业</w:t>
      </w:r>
      <w:r>
        <w:rPr>
          <w:rFonts w:ascii="宋体" w:eastAsia="宋体" w:hAnsi="宋体" w:hint="eastAsia"/>
          <w:sz w:val="24"/>
          <w:szCs w:val="24"/>
        </w:rPr>
        <w:t>大学及校内</w:t>
      </w:r>
      <w:r w:rsidR="00BB7863"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名专家来做</w:t>
      </w:r>
      <w:r w:rsidR="00BB7863">
        <w:rPr>
          <w:rFonts w:ascii="宋体" w:eastAsia="宋体" w:hAnsi="宋体" w:hint="eastAsia"/>
          <w:sz w:val="24"/>
          <w:szCs w:val="24"/>
        </w:rPr>
        <w:t>案例</w:t>
      </w:r>
      <w:r>
        <w:rPr>
          <w:rFonts w:ascii="宋体" w:eastAsia="宋体" w:hAnsi="宋体" w:hint="eastAsia"/>
          <w:sz w:val="24"/>
          <w:szCs w:val="24"/>
        </w:rPr>
        <w:t>讲座，为学生讲述统计在实际问题中的应用。该课程开阔了学生视野，</w:t>
      </w:r>
      <w:r w:rsidRPr="00771E44">
        <w:rPr>
          <w:rFonts w:ascii="宋体" w:eastAsia="宋体" w:hAnsi="宋体" w:hint="eastAsia"/>
          <w:sz w:val="24"/>
          <w:szCs w:val="24"/>
        </w:rPr>
        <w:t>培养</w:t>
      </w:r>
      <w:r>
        <w:rPr>
          <w:rFonts w:ascii="宋体" w:eastAsia="宋体" w:hAnsi="宋体" w:hint="eastAsia"/>
          <w:sz w:val="24"/>
          <w:szCs w:val="24"/>
        </w:rPr>
        <w:t>了</w:t>
      </w:r>
      <w:r w:rsidRPr="00771E44">
        <w:rPr>
          <w:rFonts w:ascii="宋体" w:eastAsia="宋体" w:hAnsi="宋体" w:hint="eastAsia"/>
          <w:sz w:val="24"/>
          <w:szCs w:val="24"/>
        </w:rPr>
        <w:t>学生的职业素养和应用技能</w:t>
      </w:r>
      <w:r>
        <w:rPr>
          <w:rFonts w:ascii="宋体" w:eastAsia="宋体" w:hAnsi="宋体" w:hint="eastAsia"/>
          <w:sz w:val="24"/>
          <w:szCs w:val="24"/>
        </w:rPr>
        <w:t>，受到学生的一致好评。</w:t>
      </w:r>
    </w:p>
    <w:p w14:paraId="1DFCE3C8" w14:textId="77777777" w:rsidR="00EB623B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771E44">
        <w:rPr>
          <w:rFonts w:ascii="黑体" w:eastAsia="黑体" w:hAnsi="黑体"/>
          <w:sz w:val="24"/>
          <w:szCs w:val="24"/>
        </w:rPr>
        <w:t>2.3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学生获奖情况</w:t>
      </w:r>
    </w:p>
    <w:p w14:paraId="09BB3EB6" w14:textId="4A6697C9" w:rsidR="00EB623B" w:rsidRDefault="00EB623B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</w:t>
      </w:r>
      <w:r w:rsidR="00C41748">
        <w:rPr>
          <w:rFonts w:ascii="宋体" w:eastAsia="宋体" w:hAnsi="宋体" w:hint="eastAsia"/>
          <w:sz w:val="24"/>
          <w:szCs w:val="24"/>
        </w:rPr>
        <w:t>继续</w:t>
      </w:r>
      <w:r>
        <w:rPr>
          <w:rFonts w:ascii="宋体" w:eastAsia="宋体" w:hAnsi="宋体" w:hint="eastAsia"/>
          <w:sz w:val="24"/>
          <w:szCs w:val="24"/>
        </w:rPr>
        <w:t>鼓励学生积极参加中国研究生数学建模竞赛，应用统计专业</w:t>
      </w:r>
      <w:r w:rsidR="00BB7863">
        <w:rPr>
          <w:rFonts w:ascii="宋体" w:eastAsia="宋体" w:hAnsi="宋体" w:hint="eastAsia"/>
          <w:sz w:val="24"/>
          <w:szCs w:val="24"/>
        </w:rPr>
        <w:t>吕佳维、王宇辰、陈永山</w:t>
      </w:r>
      <w:r>
        <w:rPr>
          <w:rFonts w:ascii="宋体" w:eastAsia="宋体" w:hAnsi="宋体" w:hint="eastAsia"/>
          <w:sz w:val="24"/>
          <w:szCs w:val="24"/>
        </w:rPr>
        <w:t>三名学生获得三等奖。</w:t>
      </w:r>
    </w:p>
    <w:p w14:paraId="00FE513B" w14:textId="77777777" w:rsidR="00C41748" w:rsidRDefault="00C41748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本年度，本专业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名研究生报名参加</w:t>
      </w:r>
      <w:r w:rsidRPr="003A4143">
        <w:rPr>
          <w:rFonts w:ascii="宋体" w:eastAsia="宋体" w:hAnsi="宋体" w:hint="eastAsia"/>
          <w:sz w:val="24"/>
          <w:szCs w:val="24"/>
        </w:rPr>
        <w:t>第十一届全国大学生市场调查与分析大赛研究生组</w:t>
      </w:r>
      <w:r>
        <w:rPr>
          <w:rFonts w:ascii="宋体" w:eastAsia="宋体" w:hAnsi="宋体" w:hint="eastAsia"/>
          <w:sz w:val="24"/>
          <w:szCs w:val="24"/>
        </w:rPr>
        <w:t>，比赛成绩将在下一年度揭晓。</w:t>
      </w:r>
    </w:p>
    <w:p w14:paraId="7DC255C4" w14:textId="4CC1E938" w:rsidR="0076053C" w:rsidRDefault="0076053C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本年度，刘青云、雷中怡两名学生的毕业论文获评我校优秀毕业论文。</w:t>
      </w:r>
    </w:p>
    <w:p w14:paraId="1D1E0E1A" w14:textId="08FA05BC" w:rsidR="00BC43A6" w:rsidRPr="00BC43A6" w:rsidRDefault="00BC43A6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BC43A6">
        <w:rPr>
          <w:rFonts w:ascii="黑体" w:eastAsia="黑体" w:hAnsi="黑体" w:hint="eastAsia"/>
          <w:sz w:val="24"/>
          <w:szCs w:val="24"/>
        </w:rPr>
        <w:t>2</w:t>
      </w:r>
      <w:r w:rsidRPr="00BC43A6">
        <w:rPr>
          <w:rFonts w:ascii="黑体" w:eastAsia="黑体" w:hAnsi="黑体"/>
          <w:sz w:val="24"/>
          <w:szCs w:val="24"/>
        </w:rPr>
        <w:t xml:space="preserve">.4 </w:t>
      </w:r>
      <w:r w:rsidRPr="00BC43A6">
        <w:rPr>
          <w:rFonts w:ascii="黑体" w:eastAsia="黑体" w:hAnsi="黑体" w:hint="eastAsia"/>
          <w:sz w:val="24"/>
          <w:szCs w:val="24"/>
        </w:rPr>
        <w:t>学生学术训练</w:t>
      </w:r>
    </w:p>
    <w:p w14:paraId="7DED2678" w14:textId="77777777" w:rsidR="00DA4DA1" w:rsidRDefault="00C41748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活跃学术氛围，本年度继续举办数学学科前沿学术报告会，选拔有成果的研究生在学术报告中分享成果。本专业研究生郝彬在报告会分享自己的成果。</w:t>
      </w:r>
    </w:p>
    <w:p w14:paraId="3FF1820B" w14:textId="0DE9B3D8" w:rsidR="00880415" w:rsidRDefault="00C41748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本年度，组织了2</w:t>
      </w:r>
      <w:r>
        <w:rPr>
          <w:rFonts w:ascii="宋体" w:eastAsia="宋体" w:hAnsi="宋体"/>
          <w:sz w:val="24"/>
          <w:szCs w:val="24"/>
        </w:rPr>
        <w:t>019</w:t>
      </w:r>
      <w:r>
        <w:rPr>
          <w:rFonts w:ascii="宋体" w:eastAsia="宋体" w:hAnsi="宋体" w:hint="eastAsia"/>
          <w:sz w:val="24"/>
          <w:szCs w:val="24"/>
        </w:rPr>
        <w:t>级研究生的学术报告活动，均参加了研究生学术报告会</w:t>
      </w:r>
      <w:r w:rsidR="002F1B2D">
        <w:rPr>
          <w:rFonts w:ascii="宋体" w:eastAsia="宋体" w:hAnsi="宋体" w:hint="eastAsia"/>
          <w:sz w:val="24"/>
          <w:szCs w:val="24"/>
        </w:rPr>
        <w:t>。</w:t>
      </w:r>
    </w:p>
    <w:p w14:paraId="562EC49D" w14:textId="381ED771" w:rsidR="00DA4DA1" w:rsidRPr="00982AE2" w:rsidRDefault="00DA4DA1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名研究生分别以第一作者发表科研论文，其中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篇为SCI，1篇中文核心。</w:t>
      </w:r>
    </w:p>
    <w:p w14:paraId="57E6A381" w14:textId="0CA6C9BD" w:rsidR="00C41748" w:rsidRDefault="002F1B2D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2F1B2D">
        <w:rPr>
          <w:rFonts w:ascii="黑体" w:eastAsia="黑体" w:hAnsi="黑体" w:hint="eastAsia"/>
          <w:sz w:val="24"/>
          <w:szCs w:val="24"/>
        </w:rPr>
        <w:t>2</w:t>
      </w:r>
      <w:r w:rsidRPr="002F1B2D">
        <w:rPr>
          <w:rFonts w:ascii="黑体" w:eastAsia="黑体" w:hAnsi="黑体"/>
          <w:sz w:val="24"/>
          <w:szCs w:val="24"/>
        </w:rPr>
        <w:t xml:space="preserve">.5 </w:t>
      </w:r>
      <w:r w:rsidRPr="002F1B2D">
        <w:rPr>
          <w:rFonts w:ascii="黑体" w:eastAsia="黑体" w:hAnsi="黑体" w:hint="eastAsia"/>
          <w:sz w:val="24"/>
          <w:szCs w:val="24"/>
        </w:rPr>
        <w:t>学生学位论文严格把关</w:t>
      </w:r>
    </w:p>
    <w:p w14:paraId="1689C2A9" w14:textId="7DF9FC93" w:rsidR="002F1B2D" w:rsidRPr="002F1B2D" w:rsidRDefault="002F1B2D" w:rsidP="00DD4BF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</w:t>
      </w:r>
      <w:r w:rsidRPr="002F1B2D">
        <w:rPr>
          <w:rFonts w:ascii="宋体" w:eastAsia="宋体" w:hAnsi="宋体" w:hint="eastAsia"/>
          <w:sz w:val="24"/>
          <w:szCs w:val="24"/>
        </w:rPr>
        <w:t>本年度，</w:t>
      </w:r>
      <w:r>
        <w:rPr>
          <w:rFonts w:ascii="宋体" w:eastAsia="宋体" w:hAnsi="宋体" w:hint="eastAsia"/>
          <w:sz w:val="24"/>
          <w:szCs w:val="24"/>
        </w:rPr>
        <w:t>应用统计</w:t>
      </w:r>
      <w:r w:rsidRPr="002F1B2D">
        <w:rPr>
          <w:rFonts w:ascii="宋体" w:eastAsia="宋体" w:hAnsi="宋体" w:hint="eastAsia"/>
          <w:sz w:val="24"/>
          <w:szCs w:val="24"/>
        </w:rPr>
        <w:t>第一批</w:t>
      </w:r>
      <w:r>
        <w:rPr>
          <w:rFonts w:ascii="宋体" w:eastAsia="宋体" w:hAnsi="宋体" w:hint="eastAsia"/>
          <w:sz w:val="24"/>
          <w:szCs w:val="24"/>
        </w:rPr>
        <w:t>研究生毕业，为保证学生学位论文质量，于2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年3月初开始组织学科导师对学生论文进行审核，对于不合格论文提出严重警告并责令改正，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月学科统一安排所有研究生的答辩工作，全日制研究生和非全日制研究生分开进行，邀请校外1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余名专家参与答辩。由于疫情原因，此次答辩工作不得不以线上形式进行。</w:t>
      </w:r>
    </w:p>
    <w:p w14:paraId="08497456" w14:textId="77777777" w:rsidR="00EB623B" w:rsidRPr="00841916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841916">
        <w:rPr>
          <w:rFonts w:ascii="黑体" w:eastAsia="黑体" w:hAnsi="黑体"/>
          <w:sz w:val="24"/>
          <w:szCs w:val="24"/>
        </w:rPr>
        <w:lastRenderedPageBreak/>
        <w:t xml:space="preserve">2.6 研究生奖助情况 </w:t>
      </w:r>
    </w:p>
    <w:p w14:paraId="0500C5F6" w14:textId="1FF4EA9B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41916">
        <w:rPr>
          <w:rFonts w:ascii="宋体" w:eastAsia="宋体" w:hAnsi="宋体"/>
          <w:sz w:val="24"/>
          <w:szCs w:val="24"/>
        </w:rPr>
        <w:t>为进一步规范研究生奖学金评审工作，确保研究生奖学金评审工作制度化、科学化，学院严格按照</w:t>
      </w:r>
      <w:r w:rsidRPr="00FA1BE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参《中国地质大学（北京）研究生学业奖助学金管理办法》（中地大京发〔2018〕3号）</w:t>
      </w:r>
      <w:r w:rsidRPr="00841916">
        <w:rPr>
          <w:rFonts w:ascii="宋体" w:eastAsia="宋体" w:hAnsi="宋体"/>
          <w:sz w:val="24"/>
          <w:szCs w:val="24"/>
        </w:rPr>
        <w:t>文件要求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41916">
        <w:rPr>
          <w:rFonts w:ascii="宋体" w:eastAsia="宋体" w:hAnsi="宋体"/>
          <w:sz w:val="24"/>
          <w:szCs w:val="24"/>
        </w:rPr>
        <w:t>进一步完善了研究生奖助体系。</w:t>
      </w:r>
      <w:r>
        <w:rPr>
          <w:rFonts w:ascii="宋体" w:eastAsia="宋体" w:hAnsi="宋体" w:hint="eastAsia"/>
          <w:sz w:val="24"/>
          <w:szCs w:val="24"/>
        </w:rPr>
        <w:t>本年度学业奖学金共发放4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万元</w:t>
      </w:r>
      <w:r w:rsidRPr="00C675B8">
        <w:rPr>
          <w:rFonts w:ascii="宋体" w:eastAsia="宋体" w:hAnsi="宋体" w:hint="eastAsia"/>
          <w:sz w:val="24"/>
          <w:szCs w:val="24"/>
        </w:rPr>
        <w:t>，2</w:t>
      </w:r>
      <w:r w:rsidRPr="00C675B8">
        <w:rPr>
          <w:rFonts w:ascii="宋体" w:eastAsia="宋体" w:hAnsi="宋体"/>
          <w:sz w:val="24"/>
          <w:szCs w:val="24"/>
        </w:rPr>
        <w:t>0</w:t>
      </w:r>
      <w:r w:rsidR="002F1B2D" w:rsidRPr="00C675B8">
        <w:rPr>
          <w:rFonts w:ascii="宋体" w:eastAsia="宋体" w:hAnsi="宋体"/>
          <w:sz w:val="24"/>
          <w:szCs w:val="24"/>
        </w:rPr>
        <w:t>20</w:t>
      </w:r>
      <w:r w:rsidRPr="00C675B8">
        <w:rPr>
          <w:rFonts w:ascii="宋体" w:eastAsia="宋体" w:hAnsi="宋体" w:hint="eastAsia"/>
          <w:sz w:val="24"/>
          <w:szCs w:val="24"/>
        </w:rPr>
        <w:t>级研究生一等奖学金</w:t>
      </w:r>
      <w:r w:rsidR="00471988" w:rsidRPr="00C675B8">
        <w:rPr>
          <w:rFonts w:ascii="宋体" w:eastAsia="宋体" w:hAnsi="宋体"/>
          <w:sz w:val="24"/>
          <w:szCs w:val="24"/>
        </w:rPr>
        <w:t>7</w:t>
      </w:r>
      <w:r w:rsidRPr="00C675B8">
        <w:rPr>
          <w:rFonts w:ascii="宋体" w:eastAsia="宋体" w:hAnsi="宋体" w:hint="eastAsia"/>
          <w:sz w:val="24"/>
          <w:szCs w:val="24"/>
        </w:rPr>
        <w:t>名，共</w:t>
      </w:r>
      <w:r w:rsidR="00471988" w:rsidRPr="00C675B8">
        <w:rPr>
          <w:rFonts w:ascii="宋体" w:eastAsia="宋体" w:hAnsi="宋体" w:hint="eastAsia"/>
          <w:sz w:val="24"/>
          <w:szCs w:val="24"/>
        </w:rPr>
        <w:t>9</w:t>
      </w:r>
      <w:r w:rsidR="00471988" w:rsidRPr="00C675B8">
        <w:rPr>
          <w:rFonts w:ascii="宋体" w:eastAsia="宋体" w:hAnsi="宋体"/>
          <w:sz w:val="24"/>
          <w:szCs w:val="24"/>
        </w:rPr>
        <w:t>.8</w:t>
      </w:r>
      <w:r w:rsidRPr="00C675B8">
        <w:rPr>
          <w:rFonts w:ascii="宋体" w:eastAsia="宋体" w:hAnsi="宋体" w:hint="eastAsia"/>
          <w:sz w:val="24"/>
          <w:szCs w:val="24"/>
        </w:rPr>
        <w:t>万元，二等奖学金</w:t>
      </w:r>
      <w:r w:rsidR="00471988" w:rsidRPr="00C675B8">
        <w:rPr>
          <w:rFonts w:ascii="宋体" w:eastAsia="宋体" w:hAnsi="宋体" w:hint="eastAsia"/>
          <w:sz w:val="24"/>
          <w:szCs w:val="24"/>
        </w:rPr>
        <w:t>1</w:t>
      </w:r>
      <w:r w:rsidR="00471988" w:rsidRPr="00C675B8">
        <w:rPr>
          <w:rFonts w:ascii="宋体" w:eastAsia="宋体" w:hAnsi="宋体"/>
          <w:sz w:val="24"/>
          <w:szCs w:val="24"/>
        </w:rPr>
        <w:t>0</w:t>
      </w:r>
      <w:r w:rsidRPr="00C675B8">
        <w:rPr>
          <w:rFonts w:ascii="宋体" w:eastAsia="宋体" w:hAnsi="宋体" w:hint="eastAsia"/>
          <w:sz w:val="24"/>
          <w:szCs w:val="24"/>
        </w:rPr>
        <w:t>名，</w:t>
      </w:r>
      <w:r w:rsidR="00471988" w:rsidRPr="00C675B8">
        <w:rPr>
          <w:rFonts w:ascii="宋体" w:eastAsia="宋体" w:hAnsi="宋体" w:hint="eastAsia"/>
          <w:sz w:val="24"/>
          <w:szCs w:val="24"/>
        </w:rPr>
        <w:t>共8万，</w:t>
      </w:r>
      <w:r w:rsidRPr="00C675B8">
        <w:rPr>
          <w:rFonts w:ascii="宋体" w:eastAsia="宋体" w:hAnsi="宋体" w:hint="eastAsia"/>
          <w:sz w:val="24"/>
          <w:szCs w:val="24"/>
        </w:rPr>
        <w:t>三等奖学金</w:t>
      </w:r>
      <w:r w:rsidR="00471988" w:rsidRPr="00C675B8">
        <w:rPr>
          <w:rFonts w:ascii="宋体" w:eastAsia="宋体" w:hAnsi="宋体"/>
          <w:sz w:val="24"/>
          <w:szCs w:val="24"/>
        </w:rPr>
        <w:t>7</w:t>
      </w:r>
      <w:r w:rsidRPr="00C675B8">
        <w:rPr>
          <w:rFonts w:ascii="宋体" w:eastAsia="宋体" w:hAnsi="宋体" w:hint="eastAsia"/>
          <w:sz w:val="24"/>
          <w:szCs w:val="24"/>
        </w:rPr>
        <w:t>名，共</w:t>
      </w:r>
      <w:r w:rsidR="00471988" w:rsidRPr="00C675B8">
        <w:rPr>
          <w:rFonts w:ascii="宋体" w:eastAsia="宋体" w:hAnsi="宋体" w:hint="eastAsia"/>
          <w:sz w:val="24"/>
          <w:szCs w:val="24"/>
        </w:rPr>
        <w:t>2</w:t>
      </w:r>
      <w:r w:rsidR="00471988" w:rsidRPr="00C675B8">
        <w:rPr>
          <w:rFonts w:ascii="宋体" w:eastAsia="宋体" w:hAnsi="宋体"/>
          <w:sz w:val="24"/>
          <w:szCs w:val="24"/>
        </w:rPr>
        <w:t>.8</w:t>
      </w:r>
      <w:r w:rsidRPr="00C675B8">
        <w:rPr>
          <w:rFonts w:ascii="宋体" w:eastAsia="宋体" w:hAnsi="宋体" w:hint="eastAsia"/>
          <w:sz w:val="24"/>
          <w:szCs w:val="24"/>
        </w:rPr>
        <w:t>万元；2</w:t>
      </w:r>
      <w:r w:rsidRPr="00C675B8">
        <w:rPr>
          <w:rFonts w:ascii="宋体" w:eastAsia="宋体" w:hAnsi="宋体"/>
          <w:sz w:val="24"/>
          <w:szCs w:val="24"/>
        </w:rPr>
        <w:t>02</w:t>
      </w:r>
      <w:r w:rsidR="00471988" w:rsidRPr="00C675B8">
        <w:rPr>
          <w:rFonts w:ascii="宋体" w:eastAsia="宋体" w:hAnsi="宋体"/>
          <w:sz w:val="24"/>
          <w:szCs w:val="24"/>
        </w:rPr>
        <w:t>1</w:t>
      </w:r>
      <w:r w:rsidRPr="00C675B8">
        <w:rPr>
          <w:rFonts w:ascii="宋体" w:eastAsia="宋体" w:hAnsi="宋体" w:hint="eastAsia"/>
          <w:sz w:val="24"/>
          <w:szCs w:val="24"/>
        </w:rPr>
        <w:t>级研究生均享受8</w:t>
      </w:r>
      <w:r w:rsidRPr="00C675B8">
        <w:rPr>
          <w:rFonts w:ascii="宋体" w:eastAsia="宋体" w:hAnsi="宋体"/>
          <w:sz w:val="24"/>
          <w:szCs w:val="24"/>
        </w:rPr>
        <w:t>000</w:t>
      </w:r>
      <w:r w:rsidRPr="00C675B8">
        <w:rPr>
          <w:rFonts w:ascii="宋体" w:eastAsia="宋体" w:hAnsi="宋体" w:hint="eastAsia"/>
          <w:sz w:val="24"/>
          <w:szCs w:val="24"/>
        </w:rPr>
        <w:t>元奖学金，共1</w:t>
      </w:r>
      <w:r w:rsidRPr="00C675B8">
        <w:rPr>
          <w:rFonts w:ascii="宋体" w:eastAsia="宋体" w:hAnsi="宋体"/>
          <w:sz w:val="24"/>
          <w:szCs w:val="24"/>
        </w:rPr>
        <w:t>9.2</w:t>
      </w:r>
      <w:r w:rsidRPr="00C675B8">
        <w:rPr>
          <w:rFonts w:ascii="宋体" w:eastAsia="宋体" w:hAnsi="宋体" w:hint="eastAsia"/>
          <w:sz w:val="24"/>
          <w:szCs w:val="24"/>
        </w:rPr>
        <w:t>万元。</w:t>
      </w:r>
      <w:r w:rsidR="00471988" w:rsidRPr="00C675B8">
        <w:rPr>
          <w:rFonts w:ascii="宋体" w:eastAsia="宋体" w:hAnsi="宋体" w:hint="eastAsia"/>
          <w:sz w:val="24"/>
          <w:szCs w:val="24"/>
        </w:rPr>
        <w:t>2</w:t>
      </w:r>
      <w:r w:rsidR="00471988" w:rsidRPr="00C675B8">
        <w:rPr>
          <w:rFonts w:ascii="宋体" w:eastAsia="宋体" w:hAnsi="宋体"/>
          <w:sz w:val="24"/>
          <w:szCs w:val="24"/>
        </w:rPr>
        <w:t>021</w:t>
      </w:r>
      <w:r w:rsidR="00471988" w:rsidRPr="00C675B8">
        <w:rPr>
          <w:rFonts w:ascii="宋体" w:eastAsia="宋体" w:hAnsi="宋体" w:hint="eastAsia"/>
          <w:sz w:val="24"/>
          <w:szCs w:val="24"/>
        </w:rPr>
        <w:t>级研究生一等奖学金</w:t>
      </w:r>
      <w:r w:rsidR="00471988" w:rsidRPr="00C675B8">
        <w:rPr>
          <w:rFonts w:ascii="宋体" w:eastAsia="宋体" w:hAnsi="宋体"/>
          <w:sz w:val="24"/>
          <w:szCs w:val="24"/>
        </w:rPr>
        <w:t>5</w:t>
      </w:r>
      <w:r w:rsidR="00471988" w:rsidRPr="00C675B8">
        <w:rPr>
          <w:rFonts w:ascii="宋体" w:eastAsia="宋体" w:hAnsi="宋体" w:hint="eastAsia"/>
          <w:sz w:val="24"/>
          <w:szCs w:val="24"/>
        </w:rPr>
        <w:t>名，共6万元，二等奖学金</w:t>
      </w:r>
      <w:r w:rsidR="00471988" w:rsidRPr="00C675B8">
        <w:rPr>
          <w:rFonts w:ascii="宋体" w:eastAsia="宋体" w:hAnsi="宋体"/>
          <w:sz w:val="24"/>
          <w:szCs w:val="24"/>
        </w:rPr>
        <w:t>9</w:t>
      </w:r>
      <w:r w:rsidR="00471988" w:rsidRPr="00C675B8">
        <w:rPr>
          <w:rFonts w:ascii="宋体" w:eastAsia="宋体" w:hAnsi="宋体" w:hint="eastAsia"/>
          <w:sz w:val="24"/>
          <w:szCs w:val="24"/>
        </w:rPr>
        <w:t>名，共</w:t>
      </w:r>
      <w:r w:rsidR="00471988" w:rsidRPr="00C675B8">
        <w:rPr>
          <w:rFonts w:ascii="宋体" w:eastAsia="宋体" w:hAnsi="宋体"/>
          <w:sz w:val="24"/>
          <w:szCs w:val="24"/>
        </w:rPr>
        <w:t>7.2</w:t>
      </w:r>
      <w:r w:rsidR="00471988" w:rsidRPr="00C675B8">
        <w:rPr>
          <w:rFonts w:ascii="宋体" w:eastAsia="宋体" w:hAnsi="宋体" w:hint="eastAsia"/>
          <w:sz w:val="24"/>
          <w:szCs w:val="24"/>
        </w:rPr>
        <w:t>万，三等奖学金5名，共2万元；2</w:t>
      </w:r>
      <w:r w:rsidR="00471988" w:rsidRPr="00C675B8">
        <w:rPr>
          <w:rFonts w:ascii="宋体" w:eastAsia="宋体" w:hAnsi="宋体"/>
          <w:sz w:val="24"/>
          <w:szCs w:val="24"/>
        </w:rPr>
        <w:t>022</w:t>
      </w:r>
      <w:r w:rsidR="00471988" w:rsidRPr="00C675B8">
        <w:rPr>
          <w:rFonts w:ascii="宋体" w:eastAsia="宋体" w:hAnsi="宋体" w:hint="eastAsia"/>
          <w:sz w:val="24"/>
          <w:szCs w:val="24"/>
        </w:rPr>
        <w:t>级</w:t>
      </w:r>
      <w:r w:rsidR="00F612DB" w:rsidRPr="00C675B8">
        <w:rPr>
          <w:rFonts w:ascii="宋体" w:eastAsia="宋体" w:hAnsi="宋体" w:hint="eastAsia"/>
          <w:sz w:val="24"/>
          <w:szCs w:val="24"/>
        </w:rPr>
        <w:t>2</w:t>
      </w:r>
      <w:r w:rsidR="00F612DB" w:rsidRPr="00C675B8">
        <w:rPr>
          <w:rFonts w:ascii="宋体" w:eastAsia="宋体" w:hAnsi="宋体"/>
          <w:sz w:val="24"/>
          <w:szCs w:val="24"/>
        </w:rPr>
        <w:t>1</w:t>
      </w:r>
      <w:r w:rsidR="00F612DB" w:rsidRPr="00C675B8">
        <w:rPr>
          <w:rFonts w:ascii="宋体" w:eastAsia="宋体" w:hAnsi="宋体" w:hint="eastAsia"/>
          <w:sz w:val="24"/>
          <w:szCs w:val="24"/>
        </w:rPr>
        <w:t>名</w:t>
      </w:r>
      <w:r w:rsidR="00471988" w:rsidRPr="00C675B8">
        <w:rPr>
          <w:rFonts w:ascii="宋体" w:eastAsia="宋体" w:hAnsi="宋体" w:hint="eastAsia"/>
          <w:sz w:val="24"/>
          <w:szCs w:val="24"/>
        </w:rPr>
        <w:t>研究生均享受8</w:t>
      </w:r>
      <w:r w:rsidR="00471988" w:rsidRPr="00C675B8">
        <w:rPr>
          <w:rFonts w:ascii="宋体" w:eastAsia="宋体" w:hAnsi="宋体"/>
          <w:sz w:val="24"/>
          <w:szCs w:val="24"/>
        </w:rPr>
        <w:t>000</w:t>
      </w:r>
      <w:r w:rsidR="00471988" w:rsidRPr="00C675B8">
        <w:rPr>
          <w:rFonts w:ascii="宋体" w:eastAsia="宋体" w:hAnsi="宋体" w:hint="eastAsia"/>
          <w:sz w:val="24"/>
          <w:szCs w:val="24"/>
        </w:rPr>
        <w:t>元奖学金，共1</w:t>
      </w:r>
      <w:r w:rsidR="00471988" w:rsidRPr="00C675B8">
        <w:rPr>
          <w:rFonts w:ascii="宋体" w:eastAsia="宋体" w:hAnsi="宋体"/>
          <w:sz w:val="24"/>
          <w:szCs w:val="24"/>
        </w:rPr>
        <w:t>6.8</w:t>
      </w:r>
      <w:r w:rsidR="00471988" w:rsidRPr="00C675B8">
        <w:rPr>
          <w:rFonts w:ascii="宋体" w:eastAsia="宋体" w:hAnsi="宋体" w:hint="eastAsia"/>
          <w:sz w:val="24"/>
          <w:szCs w:val="24"/>
        </w:rPr>
        <w:t>万元。</w:t>
      </w:r>
      <w:r w:rsidR="00F612DB" w:rsidRPr="00C675B8">
        <w:rPr>
          <w:rFonts w:ascii="宋体" w:eastAsia="宋体" w:hAnsi="宋体" w:hint="eastAsia"/>
          <w:sz w:val="24"/>
          <w:szCs w:val="24"/>
        </w:rPr>
        <w:t>6</w:t>
      </w:r>
      <w:r w:rsidR="00F612DB" w:rsidRPr="00C675B8">
        <w:rPr>
          <w:rFonts w:ascii="宋体" w:eastAsia="宋体" w:hAnsi="宋体"/>
          <w:sz w:val="24"/>
          <w:szCs w:val="24"/>
        </w:rPr>
        <w:t>3</w:t>
      </w:r>
      <w:r w:rsidR="00F612DB" w:rsidRPr="00C675B8">
        <w:rPr>
          <w:rFonts w:ascii="宋体" w:eastAsia="宋体" w:hAnsi="宋体" w:hint="eastAsia"/>
          <w:sz w:val="24"/>
          <w:szCs w:val="24"/>
        </w:rPr>
        <w:t>名研究生</w:t>
      </w:r>
      <w:r w:rsidR="00471988" w:rsidRPr="00C675B8">
        <w:rPr>
          <w:rFonts w:ascii="宋体" w:eastAsia="宋体" w:hAnsi="宋体" w:hint="eastAsia"/>
          <w:sz w:val="24"/>
          <w:szCs w:val="24"/>
        </w:rPr>
        <w:t>共发放助学金</w:t>
      </w:r>
      <w:r w:rsidR="00F612DB" w:rsidRPr="00C675B8">
        <w:rPr>
          <w:rFonts w:ascii="宋体" w:eastAsia="宋体" w:hAnsi="宋体" w:hint="eastAsia"/>
          <w:sz w:val="24"/>
          <w:szCs w:val="24"/>
        </w:rPr>
        <w:t>3</w:t>
      </w:r>
      <w:r w:rsidR="00F612DB" w:rsidRPr="00C675B8">
        <w:rPr>
          <w:rFonts w:ascii="宋体" w:eastAsia="宋体" w:hAnsi="宋体"/>
          <w:sz w:val="24"/>
          <w:szCs w:val="24"/>
        </w:rPr>
        <w:t>8.4</w:t>
      </w:r>
      <w:r w:rsidR="00F612DB" w:rsidRPr="00C675B8">
        <w:rPr>
          <w:rFonts w:ascii="宋体" w:eastAsia="宋体" w:hAnsi="宋体" w:hint="eastAsia"/>
          <w:sz w:val="24"/>
          <w:szCs w:val="24"/>
        </w:rPr>
        <w:t>万。</w:t>
      </w:r>
    </w:p>
    <w:p w14:paraId="310227D3" w14:textId="0B266DAA" w:rsidR="00DA4DA1" w:rsidRPr="00DA4DA1" w:rsidRDefault="00DA4DA1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DA4DA1">
        <w:rPr>
          <w:rFonts w:ascii="黑体" w:eastAsia="黑体" w:hAnsi="黑体" w:hint="eastAsia"/>
          <w:sz w:val="24"/>
          <w:szCs w:val="24"/>
        </w:rPr>
        <w:t>2</w:t>
      </w:r>
      <w:r w:rsidRPr="00DA4DA1">
        <w:rPr>
          <w:rFonts w:ascii="黑体" w:eastAsia="黑体" w:hAnsi="黑体"/>
          <w:sz w:val="24"/>
          <w:szCs w:val="24"/>
        </w:rPr>
        <w:t xml:space="preserve">.7 </w:t>
      </w:r>
      <w:r w:rsidRPr="00DA4DA1">
        <w:rPr>
          <w:rFonts w:ascii="黑体" w:eastAsia="黑体" w:hAnsi="黑体" w:hint="eastAsia"/>
          <w:sz w:val="24"/>
          <w:szCs w:val="24"/>
        </w:rPr>
        <w:t>研究生毕业就业情况</w:t>
      </w:r>
    </w:p>
    <w:p w14:paraId="16AB2D6F" w14:textId="66CB557A" w:rsidR="00DA4DA1" w:rsidRDefault="00DA4DA1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本年度，2</w:t>
      </w:r>
      <w:r>
        <w:rPr>
          <w:rFonts w:ascii="宋体" w:eastAsia="宋体" w:hAnsi="宋体"/>
          <w:sz w:val="24"/>
          <w:szCs w:val="24"/>
        </w:rPr>
        <w:t>019</w:t>
      </w:r>
      <w:r>
        <w:rPr>
          <w:rFonts w:ascii="宋体" w:eastAsia="宋体" w:hAnsi="宋体" w:hint="eastAsia"/>
          <w:sz w:val="24"/>
          <w:szCs w:val="24"/>
        </w:rPr>
        <w:t>级5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名研究生（其中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名研究生于2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年提前毕业）毕业，</w:t>
      </w:r>
    </w:p>
    <w:p w14:paraId="254FF80C" w14:textId="1A880091" w:rsidR="001D7E97" w:rsidRDefault="001D7E97" w:rsidP="00DD4BF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名研究生继续攻读博士学位，其余研究生全部就业，第一届毕业生毕业率达1</w:t>
      </w:r>
      <w:r>
        <w:rPr>
          <w:rFonts w:ascii="宋体" w:eastAsia="宋体" w:hAnsi="宋体"/>
          <w:sz w:val="24"/>
          <w:szCs w:val="24"/>
        </w:rPr>
        <w:t>00%</w:t>
      </w:r>
      <w:r>
        <w:rPr>
          <w:rFonts w:ascii="宋体" w:eastAsia="宋体" w:hAnsi="宋体" w:hint="eastAsia"/>
          <w:sz w:val="24"/>
          <w:szCs w:val="24"/>
        </w:rPr>
        <w:t>。就业单位如下表</w:t>
      </w:r>
      <w:r>
        <w:rPr>
          <w:rFonts w:ascii="宋体" w:eastAsia="宋体" w:hAnsi="宋体"/>
          <w:sz w:val="24"/>
          <w:szCs w:val="24"/>
        </w:rPr>
        <w:t>:</w:t>
      </w:r>
    </w:p>
    <w:p w14:paraId="43FBC90E" w14:textId="77777777" w:rsidR="001D7E97" w:rsidRDefault="001D7E97" w:rsidP="00DD4BF1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884"/>
        <w:gridCol w:w="1363"/>
        <w:gridCol w:w="4332"/>
      </w:tblGrid>
      <w:tr w:rsidR="001D7E97" w14:paraId="11EC5958" w14:textId="77777777" w:rsidTr="001D7E97">
        <w:tc>
          <w:tcPr>
            <w:tcW w:w="8296" w:type="dxa"/>
            <w:gridSpan w:val="4"/>
            <w:shd w:val="clear" w:color="auto" w:fill="auto"/>
            <w:vAlign w:val="center"/>
          </w:tcPr>
          <w:p w14:paraId="4036D092" w14:textId="16E6769E" w:rsidR="001D7E97" w:rsidRPr="001D7E97" w:rsidRDefault="001D7E97" w:rsidP="00DD4BF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7E97">
              <w:rPr>
                <w:rFonts w:eastAsia="等线 Light"/>
                <w:b/>
                <w:bCs/>
                <w:sz w:val="24"/>
                <w:szCs w:val="24"/>
              </w:rPr>
              <w:t>2021</w:t>
            </w:r>
            <w:r w:rsidRPr="001D7E97">
              <w:rPr>
                <w:rFonts w:eastAsia="等线 Light" w:hint="eastAsia"/>
                <w:b/>
                <w:bCs/>
                <w:sz w:val="24"/>
                <w:szCs w:val="24"/>
              </w:rPr>
              <w:t>届</w:t>
            </w:r>
            <w:r w:rsidRPr="001D7E97">
              <w:rPr>
                <w:rFonts w:ascii="等线 Light" w:eastAsia="等线 Light" w:hAnsi="等线 Light" w:cs="等线 Light" w:hint="eastAsia"/>
                <w:b/>
                <w:bCs/>
                <w:sz w:val="24"/>
                <w:szCs w:val="24"/>
              </w:rPr>
              <w:t>应用统计专业毕业生毕业去向</w:t>
            </w:r>
          </w:p>
        </w:tc>
      </w:tr>
      <w:tr w:rsidR="001D7E97" w14:paraId="1720F440" w14:textId="77777777" w:rsidTr="001D7E97">
        <w:tc>
          <w:tcPr>
            <w:tcW w:w="717" w:type="dxa"/>
            <w:shd w:val="clear" w:color="auto" w:fill="auto"/>
            <w:vAlign w:val="center"/>
          </w:tcPr>
          <w:p w14:paraId="332C3274" w14:textId="02CA3996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/>
              </w:rPr>
              <w:t>序号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198496F" w14:textId="77777777" w:rsidR="001D7E97" w:rsidRDefault="001D7E97" w:rsidP="00DD4BF1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A45F122" w14:textId="77777777" w:rsidR="001D7E97" w:rsidRPr="00C4614D" w:rsidRDefault="001D7E97" w:rsidP="00DD4BF1">
            <w:pPr>
              <w:spacing w:line="360" w:lineRule="auto"/>
              <w:jc w:val="center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szCs w:val="21"/>
              </w:rPr>
              <w:t>姓名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840559B" w14:textId="77777777" w:rsidR="001D7E97" w:rsidRPr="00C4614D" w:rsidRDefault="001D7E97" w:rsidP="00DD4BF1">
            <w:pPr>
              <w:spacing w:line="360" w:lineRule="auto"/>
              <w:jc w:val="center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szCs w:val="21"/>
              </w:rPr>
              <w:t>毕业去向</w:t>
            </w:r>
          </w:p>
        </w:tc>
      </w:tr>
      <w:tr w:rsidR="001D7E97" w14:paraId="5BEFAE4E" w14:textId="77777777" w:rsidTr="001D7E97">
        <w:tc>
          <w:tcPr>
            <w:tcW w:w="717" w:type="dxa"/>
            <w:shd w:val="clear" w:color="auto" w:fill="auto"/>
            <w:vAlign w:val="center"/>
          </w:tcPr>
          <w:p w14:paraId="6647060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DBF1F05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815F2E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刘冲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D14A44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武汉市中制智造技术有限公司</w:t>
            </w:r>
          </w:p>
        </w:tc>
      </w:tr>
      <w:tr w:rsidR="001D7E97" w14:paraId="0402BD81" w14:textId="77777777" w:rsidTr="001D7E97">
        <w:tc>
          <w:tcPr>
            <w:tcW w:w="717" w:type="dxa"/>
            <w:shd w:val="clear" w:color="auto" w:fill="auto"/>
            <w:vAlign w:val="center"/>
          </w:tcPr>
          <w:p w14:paraId="14FED71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F8EE873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8783BB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奚铭泽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799028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西安杨森制药有限公司北京分公司</w:t>
            </w:r>
          </w:p>
        </w:tc>
      </w:tr>
      <w:tr w:rsidR="001D7E97" w14:paraId="75193BD3" w14:textId="77777777" w:rsidTr="001D7E97">
        <w:tc>
          <w:tcPr>
            <w:tcW w:w="717" w:type="dxa"/>
            <w:shd w:val="clear" w:color="auto" w:fill="auto"/>
            <w:vAlign w:val="center"/>
          </w:tcPr>
          <w:p w14:paraId="782CA3C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393DFAF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2119190004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AF9270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何长幸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35BD57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建信住房服务有限责任公司</w:t>
            </w:r>
          </w:p>
        </w:tc>
      </w:tr>
      <w:tr w:rsidR="001D7E97" w14:paraId="5B7A4F6F" w14:textId="77777777" w:rsidTr="001D7E97">
        <w:tc>
          <w:tcPr>
            <w:tcW w:w="717" w:type="dxa"/>
            <w:shd w:val="clear" w:color="auto" w:fill="auto"/>
            <w:vAlign w:val="center"/>
          </w:tcPr>
          <w:p w14:paraId="641908A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F6F054E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12B521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曲静雯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5F9CEA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秒针信息技术有限公司</w:t>
            </w:r>
          </w:p>
        </w:tc>
      </w:tr>
      <w:tr w:rsidR="001D7E97" w14:paraId="1145A330" w14:textId="77777777" w:rsidTr="001D7E97">
        <w:tc>
          <w:tcPr>
            <w:tcW w:w="717" w:type="dxa"/>
            <w:shd w:val="clear" w:color="auto" w:fill="auto"/>
            <w:vAlign w:val="center"/>
          </w:tcPr>
          <w:p w14:paraId="7E4642F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8830DC9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2119200011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B4CA24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雷中怡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0BB6CB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北京兴教人力资源服务有限责任公司</w:t>
            </w:r>
          </w:p>
        </w:tc>
      </w:tr>
      <w:tr w:rsidR="001D7E97" w14:paraId="53824347" w14:textId="77777777" w:rsidTr="001D7E97">
        <w:tc>
          <w:tcPr>
            <w:tcW w:w="717" w:type="dxa"/>
            <w:shd w:val="clear" w:color="auto" w:fill="auto"/>
            <w:vAlign w:val="center"/>
          </w:tcPr>
          <w:p w14:paraId="3792169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A799ADC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2219190004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636DB5D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聂晓涵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18A58ED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精硕科技（北京）股份有限公司</w:t>
            </w:r>
          </w:p>
        </w:tc>
      </w:tr>
      <w:tr w:rsidR="001D7E97" w14:paraId="51CAB07D" w14:textId="77777777" w:rsidTr="001D7E97">
        <w:tc>
          <w:tcPr>
            <w:tcW w:w="717" w:type="dxa"/>
            <w:shd w:val="clear" w:color="auto" w:fill="auto"/>
            <w:vAlign w:val="center"/>
          </w:tcPr>
          <w:p w14:paraId="475BEA1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C2F378A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A7266CD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李孝起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1DE8CC2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百融云创科技股份有限公司</w:t>
            </w:r>
          </w:p>
        </w:tc>
      </w:tr>
      <w:tr w:rsidR="001D7E97" w14:paraId="3EBDF5FF" w14:textId="77777777" w:rsidTr="001D7E97">
        <w:tc>
          <w:tcPr>
            <w:tcW w:w="717" w:type="dxa"/>
            <w:shd w:val="clear" w:color="auto" w:fill="auto"/>
            <w:vAlign w:val="center"/>
          </w:tcPr>
          <w:p w14:paraId="67E1863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1E72F3E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D0C450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孟宪昊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ABFE4E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天津市统计局</w:t>
            </w:r>
          </w:p>
        </w:tc>
      </w:tr>
      <w:tr w:rsidR="001D7E97" w14:paraId="41AB5B0A" w14:textId="77777777" w:rsidTr="001D7E97">
        <w:tc>
          <w:tcPr>
            <w:tcW w:w="717" w:type="dxa"/>
            <w:shd w:val="clear" w:color="auto" w:fill="auto"/>
            <w:vAlign w:val="center"/>
          </w:tcPr>
          <w:p w14:paraId="1892FD5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A0D09C8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13D131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赵舟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F119C7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国家税务总局舟山市税务局</w:t>
            </w:r>
          </w:p>
        </w:tc>
      </w:tr>
      <w:tr w:rsidR="001D7E97" w14:paraId="5816715C" w14:textId="77777777" w:rsidTr="001D7E97">
        <w:tc>
          <w:tcPr>
            <w:tcW w:w="717" w:type="dxa"/>
            <w:shd w:val="clear" w:color="auto" w:fill="auto"/>
            <w:vAlign w:val="center"/>
          </w:tcPr>
          <w:p w14:paraId="65D06D1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7F6F39D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7EC8E1A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李德湘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9143A8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北京航空航天大学附属小学昌平学校</w:t>
            </w:r>
          </w:p>
        </w:tc>
      </w:tr>
      <w:tr w:rsidR="001D7E97" w14:paraId="0960FF00" w14:textId="77777777" w:rsidTr="001D7E97">
        <w:tc>
          <w:tcPr>
            <w:tcW w:w="717" w:type="dxa"/>
            <w:shd w:val="clear" w:color="auto" w:fill="auto"/>
            <w:vAlign w:val="center"/>
          </w:tcPr>
          <w:p w14:paraId="7007BD3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3F315A3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F91F7A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徐静含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DD617E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淄博经济开发区人力资源和社会保障局</w:t>
            </w:r>
          </w:p>
        </w:tc>
      </w:tr>
      <w:tr w:rsidR="001D7E97" w14:paraId="2455C8B7" w14:textId="77777777" w:rsidTr="001D7E97">
        <w:tc>
          <w:tcPr>
            <w:tcW w:w="717" w:type="dxa"/>
            <w:shd w:val="clear" w:color="auto" w:fill="auto"/>
            <w:vAlign w:val="center"/>
          </w:tcPr>
          <w:p w14:paraId="692347F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98BB116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F1545E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荆荣丹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7E2674A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中国银行保险监督管理委员会德州监管局</w:t>
            </w:r>
          </w:p>
        </w:tc>
      </w:tr>
      <w:tr w:rsidR="001D7E97" w14:paraId="1685E163" w14:textId="77777777" w:rsidTr="001D7E97">
        <w:tc>
          <w:tcPr>
            <w:tcW w:w="717" w:type="dxa"/>
            <w:shd w:val="clear" w:color="auto" w:fill="auto"/>
            <w:vAlign w:val="center"/>
          </w:tcPr>
          <w:p w14:paraId="0A01E82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634DC12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4EB4A3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任兵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18B429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中国工商银行股份有限公司上海市分行</w:t>
            </w:r>
          </w:p>
        </w:tc>
      </w:tr>
      <w:tr w:rsidR="001D7E97" w14:paraId="7734A378" w14:textId="77777777" w:rsidTr="001D7E97">
        <w:tc>
          <w:tcPr>
            <w:tcW w:w="717" w:type="dxa"/>
            <w:shd w:val="clear" w:color="auto" w:fill="auto"/>
            <w:vAlign w:val="center"/>
          </w:tcPr>
          <w:p w14:paraId="2924609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lastRenderedPageBreak/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39A6196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49EA47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冀炳楠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5173AB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北京易华录信息技术股份有限公司</w:t>
            </w:r>
          </w:p>
        </w:tc>
      </w:tr>
      <w:tr w:rsidR="001D7E97" w14:paraId="2F5E6448" w14:textId="77777777" w:rsidTr="001D7E97">
        <w:tc>
          <w:tcPr>
            <w:tcW w:w="717" w:type="dxa"/>
            <w:shd w:val="clear" w:color="auto" w:fill="auto"/>
            <w:vAlign w:val="center"/>
          </w:tcPr>
          <w:p w14:paraId="397031B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0314FAB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ECA207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李三林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B4BA0A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上海微盟企业发展有限公司</w:t>
            </w:r>
          </w:p>
        </w:tc>
      </w:tr>
      <w:tr w:rsidR="001D7E97" w14:paraId="2E2ED94D" w14:textId="77777777" w:rsidTr="001D7E97">
        <w:tc>
          <w:tcPr>
            <w:tcW w:w="717" w:type="dxa"/>
            <w:shd w:val="clear" w:color="auto" w:fill="auto"/>
            <w:vAlign w:val="center"/>
          </w:tcPr>
          <w:p w14:paraId="5339FA8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24D7EE9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20A976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曹婕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B5DF28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上海银行股份有限公司</w:t>
            </w:r>
          </w:p>
        </w:tc>
      </w:tr>
      <w:tr w:rsidR="001D7E97" w14:paraId="6926BC81" w14:textId="77777777" w:rsidTr="001D7E97">
        <w:tc>
          <w:tcPr>
            <w:tcW w:w="717" w:type="dxa"/>
            <w:shd w:val="clear" w:color="auto" w:fill="auto"/>
            <w:vAlign w:val="center"/>
          </w:tcPr>
          <w:p w14:paraId="56531CCA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D84459A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66F0514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罗文君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C22ABD4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焦作市解放区金融服务中心</w:t>
            </w:r>
          </w:p>
        </w:tc>
      </w:tr>
      <w:tr w:rsidR="001D7E97" w14:paraId="384FD870" w14:textId="77777777" w:rsidTr="001D7E97">
        <w:tc>
          <w:tcPr>
            <w:tcW w:w="717" w:type="dxa"/>
            <w:shd w:val="clear" w:color="auto" w:fill="auto"/>
            <w:vAlign w:val="center"/>
          </w:tcPr>
          <w:p w14:paraId="0E1A8E9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BDBDACB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C65653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沈杨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8E946D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肇庆学院</w:t>
            </w:r>
          </w:p>
        </w:tc>
      </w:tr>
      <w:tr w:rsidR="001D7E97" w14:paraId="4929C88D" w14:textId="77777777" w:rsidTr="001D7E97">
        <w:tc>
          <w:tcPr>
            <w:tcW w:w="717" w:type="dxa"/>
            <w:shd w:val="clear" w:color="auto" w:fill="auto"/>
            <w:vAlign w:val="center"/>
          </w:tcPr>
          <w:p w14:paraId="6A2EFFDA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81A2CC2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F33CAC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万巧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0F7B00D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凤凰飞扬（北京）新媒体信息技术有限公司</w:t>
            </w:r>
          </w:p>
        </w:tc>
      </w:tr>
      <w:tr w:rsidR="001D7E97" w14:paraId="39432E5A" w14:textId="77777777" w:rsidTr="001D7E97">
        <w:tc>
          <w:tcPr>
            <w:tcW w:w="717" w:type="dxa"/>
            <w:shd w:val="clear" w:color="auto" w:fill="auto"/>
            <w:vAlign w:val="center"/>
          </w:tcPr>
          <w:p w14:paraId="62FF9D4A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3421872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9B08AD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湛依萌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4CBCB4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中国移动通信集团河北有限公司</w:t>
            </w:r>
          </w:p>
        </w:tc>
      </w:tr>
      <w:tr w:rsidR="001D7E97" w14:paraId="34F82F29" w14:textId="77777777" w:rsidTr="001D7E97">
        <w:tc>
          <w:tcPr>
            <w:tcW w:w="717" w:type="dxa"/>
            <w:shd w:val="clear" w:color="auto" w:fill="auto"/>
            <w:vAlign w:val="center"/>
          </w:tcPr>
          <w:p w14:paraId="6156035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BCA2559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507A8E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张鉴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1E6F95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家教</w:t>
            </w:r>
          </w:p>
        </w:tc>
      </w:tr>
      <w:tr w:rsidR="001D7E97" w14:paraId="039B8D19" w14:textId="77777777" w:rsidTr="001D7E97">
        <w:tc>
          <w:tcPr>
            <w:tcW w:w="717" w:type="dxa"/>
            <w:shd w:val="clear" w:color="auto" w:fill="auto"/>
            <w:vAlign w:val="center"/>
          </w:tcPr>
          <w:p w14:paraId="3036065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39E3EA1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8D5661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王秀坤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7DBAD57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国家税务总局北京市税务局</w:t>
            </w:r>
          </w:p>
        </w:tc>
      </w:tr>
      <w:tr w:rsidR="001D7E97" w14:paraId="7CF7D8CA" w14:textId="77777777" w:rsidTr="001D7E97">
        <w:tc>
          <w:tcPr>
            <w:tcW w:w="717" w:type="dxa"/>
            <w:shd w:val="clear" w:color="auto" w:fill="auto"/>
            <w:vAlign w:val="center"/>
          </w:tcPr>
          <w:p w14:paraId="0180B65A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1E04C00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D0636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董荣荣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982760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北京神州国开教育咨询有限公司</w:t>
            </w:r>
          </w:p>
        </w:tc>
      </w:tr>
      <w:tr w:rsidR="001D7E97" w14:paraId="6F8A2DCB" w14:textId="77777777" w:rsidTr="001D7E97">
        <w:tc>
          <w:tcPr>
            <w:tcW w:w="717" w:type="dxa"/>
            <w:shd w:val="clear" w:color="auto" w:fill="auto"/>
            <w:vAlign w:val="center"/>
          </w:tcPr>
          <w:p w14:paraId="4B44B83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65AFE8D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BE43D6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刘青云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E13FAD2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青岛市人力资源管理服务有限公司</w:t>
            </w:r>
          </w:p>
        </w:tc>
      </w:tr>
      <w:tr w:rsidR="001D7E97" w14:paraId="0109AAC5" w14:textId="77777777" w:rsidTr="001D7E97">
        <w:tc>
          <w:tcPr>
            <w:tcW w:w="717" w:type="dxa"/>
            <w:shd w:val="clear" w:color="auto" w:fill="auto"/>
            <w:vAlign w:val="center"/>
          </w:tcPr>
          <w:p w14:paraId="230BA6F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111A3C2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CC4024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毕英娇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6980522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小米通讯技术有限公司</w:t>
            </w:r>
          </w:p>
        </w:tc>
      </w:tr>
      <w:tr w:rsidR="001D7E97" w14:paraId="2D748EEC" w14:textId="77777777" w:rsidTr="001D7E97">
        <w:tc>
          <w:tcPr>
            <w:tcW w:w="717" w:type="dxa"/>
            <w:shd w:val="clear" w:color="auto" w:fill="auto"/>
            <w:vAlign w:val="center"/>
          </w:tcPr>
          <w:p w14:paraId="6AE8EAA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47E22FF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6113D1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孙晓洁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E60AA5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中国电信股份有限公司北京分公司</w:t>
            </w:r>
          </w:p>
        </w:tc>
      </w:tr>
      <w:tr w:rsidR="001D7E97" w14:paraId="6F64A1E7" w14:textId="77777777" w:rsidTr="001D7E97">
        <w:tc>
          <w:tcPr>
            <w:tcW w:w="717" w:type="dxa"/>
            <w:shd w:val="clear" w:color="auto" w:fill="auto"/>
            <w:vAlign w:val="center"/>
          </w:tcPr>
          <w:p w14:paraId="6B9BC51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1E580B0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C86BEB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严子杰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84F906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唯品会（中国）有限公司</w:t>
            </w:r>
          </w:p>
        </w:tc>
      </w:tr>
      <w:tr w:rsidR="001D7E97" w14:paraId="7AE7815B" w14:textId="77777777" w:rsidTr="001D7E97">
        <w:tc>
          <w:tcPr>
            <w:tcW w:w="717" w:type="dxa"/>
            <w:shd w:val="clear" w:color="auto" w:fill="auto"/>
            <w:vAlign w:val="center"/>
          </w:tcPr>
          <w:p w14:paraId="02A401E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8E891AA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D2915C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余娟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C3651A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三立人（深圳）科技有限公司</w:t>
            </w:r>
          </w:p>
        </w:tc>
      </w:tr>
      <w:tr w:rsidR="001D7E97" w14:paraId="7120312F" w14:textId="77777777" w:rsidTr="001D7E97">
        <w:tc>
          <w:tcPr>
            <w:tcW w:w="717" w:type="dxa"/>
            <w:shd w:val="clear" w:color="auto" w:fill="auto"/>
            <w:vAlign w:val="center"/>
          </w:tcPr>
          <w:p w14:paraId="1E5A6C7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E007E3B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3F7653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张娟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4F2C94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微店网店</w:t>
            </w:r>
          </w:p>
        </w:tc>
      </w:tr>
      <w:tr w:rsidR="001D7E97" w14:paraId="6BDC7FC5" w14:textId="77777777" w:rsidTr="001D7E97">
        <w:tc>
          <w:tcPr>
            <w:tcW w:w="717" w:type="dxa"/>
            <w:shd w:val="clear" w:color="auto" w:fill="auto"/>
            <w:vAlign w:val="center"/>
          </w:tcPr>
          <w:p w14:paraId="7B0BBF1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CAF18FF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45EAC4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夏志成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F04F29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北京德胜门外大街证券营业部</w:t>
            </w:r>
          </w:p>
        </w:tc>
      </w:tr>
      <w:tr w:rsidR="001D7E97" w14:paraId="6D8E4A53" w14:textId="77777777" w:rsidTr="001D7E97">
        <w:tc>
          <w:tcPr>
            <w:tcW w:w="717" w:type="dxa"/>
            <w:shd w:val="clear" w:color="auto" w:fill="auto"/>
            <w:vAlign w:val="center"/>
          </w:tcPr>
          <w:p w14:paraId="051EA9B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462BD90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B0EE12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徐娜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4DF821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永清县教育局</w:t>
            </w:r>
          </w:p>
        </w:tc>
      </w:tr>
      <w:tr w:rsidR="001D7E97" w14:paraId="68FE2710" w14:textId="77777777" w:rsidTr="001D7E97">
        <w:tc>
          <w:tcPr>
            <w:tcW w:w="717" w:type="dxa"/>
            <w:shd w:val="clear" w:color="auto" w:fill="auto"/>
            <w:vAlign w:val="center"/>
          </w:tcPr>
          <w:p w14:paraId="06C6452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F585590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AD7786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田云祁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73435B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北京火花思维教育科技有限公司</w:t>
            </w:r>
          </w:p>
        </w:tc>
      </w:tr>
      <w:tr w:rsidR="001D7E97" w14:paraId="6D1A1257" w14:textId="77777777" w:rsidTr="001D7E97">
        <w:tc>
          <w:tcPr>
            <w:tcW w:w="717" w:type="dxa"/>
            <w:shd w:val="clear" w:color="auto" w:fill="auto"/>
            <w:vAlign w:val="center"/>
          </w:tcPr>
          <w:p w14:paraId="792D92B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4633526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CFAE09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李思明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F86453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北京快乐茄信息技术有限公司</w:t>
            </w:r>
          </w:p>
        </w:tc>
      </w:tr>
      <w:tr w:rsidR="001D7E97" w14:paraId="540C2FE4" w14:textId="77777777" w:rsidTr="001D7E97">
        <w:tc>
          <w:tcPr>
            <w:tcW w:w="717" w:type="dxa"/>
            <w:shd w:val="clear" w:color="auto" w:fill="auto"/>
            <w:vAlign w:val="center"/>
          </w:tcPr>
          <w:p w14:paraId="1C3E78C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3AB8CB6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2119190024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41DA9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葛帆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46C913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招商银行股份有限公司合肥分行</w:t>
            </w:r>
          </w:p>
        </w:tc>
      </w:tr>
      <w:tr w:rsidR="001D7E97" w14:paraId="68E7B080" w14:textId="77777777" w:rsidTr="001D7E97">
        <w:tc>
          <w:tcPr>
            <w:tcW w:w="717" w:type="dxa"/>
            <w:shd w:val="clear" w:color="auto" w:fill="auto"/>
            <w:vAlign w:val="center"/>
          </w:tcPr>
          <w:p w14:paraId="7296252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51C3585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63DD59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巩孟琪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D386E2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中国重型汽车集团有限公司</w:t>
            </w:r>
          </w:p>
        </w:tc>
      </w:tr>
      <w:tr w:rsidR="001D7E97" w14:paraId="63BF4A55" w14:textId="77777777" w:rsidTr="001D7E97">
        <w:tc>
          <w:tcPr>
            <w:tcW w:w="717" w:type="dxa"/>
            <w:shd w:val="clear" w:color="auto" w:fill="auto"/>
            <w:vAlign w:val="center"/>
          </w:tcPr>
          <w:p w14:paraId="1B6B1DE1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766127B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2119190013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1DFFF6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郝俊凯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956030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广州市百果园网络科技有限公司</w:t>
            </w:r>
          </w:p>
        </w:tc>
      </w:tr>
      <w:tr w:rsidR="001D7E97" w14:paraId="041B00A7" w14:textId="77777777" w:rsidTr="001D7E97">
        <w:tc>
          <w:tcPr>
            <w:tcW w:w="717" w:type="dxa"/>
            <w:shd w:val="clear" w:color="auto" w:fill="auto"/>
            <w:vAlign w:val="center"/>
          </w:tcPr>
          <w:p w14:paraId="3C93857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273A689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9C87EC2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王婷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BB399A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中国农业银行股份有限公司四川省分行</w:t>
            </w:r>
          </w:p>
        </w:tc>
      </w:tr>
      <w:tr w:rsidR="001D7E97" w14:paraId="264D8B9E" w14:textId="77777777" w:rsidTr="001D7E97">
        <w:tc>
          <w:tcPr>
            <w:tcW w:w="717" w:type="dxa"/>
            <w:shd w:val="clear" w:color="auto" w:fill="auto"/>
            <w:vAlign w:val="center"/>
          </w:tcPr>
          <w:p w14:paraId="1AF4BDB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A1FE8E8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536DFA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杨鑫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52FD00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贵州空杯信息科技有限公司</w:t>
            </w:r>
          </w:p>
        </w:tc>
      </w:tr>
      <w:tr w:rsidR="001D7E97" w14:paraId="37B08790" w14:textId="77777777" w:rsidTr="001D7E97">
        <w:tc>
          <w:tcPr>
            <w:tcW w:w="717" w:type="dxa"/>
            <w:shd w:val="clear" w:color="auto" w:fill="auto"/>
            <w:vAlign w:val="center"/>
          </w:tcPr>
          <w:p w14:paraId="07F200C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A144D45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2119190014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7E549C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宋鲁玉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24B23F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北京回龙观医院</w:t>
            </w:r>
          </w:p>
        </w:tc>
      </w:tr>
      <w:tr w:rsidR="001D7E97" w14:paraId="10B149C2" w14:textId="77777777" w:rsidTr="001D7E97">
        <w:tc>
          <w:tcPr>
            <w:tcW w:w="717" w:type="dxa"/>
            <w:shd w:val="clear" w:color="auto" w:fill="auto"/>
            <w:vAlign w:val="center"/>
          </w:tcPr>
          <w:p w14:paraId="0A4D735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84D68ED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CBF340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谢婉珊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E3BA18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北京达佳互联信息技术有限公司</w:t>
            </w:r>
          </w:p>
        </w:tc>
      </w:tr>
      <w:tr w:rsidR="001D7E97" w14:paraId="781CC186" w14:textId="77777777" w:rsidTr="001D7E97">
        <w:tc>
          <w:tcPr>
            <w:tcW w:w="717" w:type="dxa"/>
            <w:shd w:val="clear" w:color="auto" w:fill="auto"/>
            <w:vAlign w:val="center"/>
          </w:tcPr>
          <w:p w14:paraId="7C675F6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4C40102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E6776A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虞效竹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240B99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神州细胞工程有限公司</w:t>
            </w:r>
          </w:p>
        </w:tc>
      </w:tr>
      <w:tr w:rsidR="001D7E97" w14:paraId="107200D4" w14:textId="77777777" w:rsidTr="001D7E97">
        <w:tc>
          <w:tcPr>
            <w:tcW w:w="717" w:type="dxa"/>
            <w:shd w:val="clear" w:color="auto" w:fill="auto"/>
            <w:vAlign w:val="center"/>
          </w:tcPr>
          <w:p w14:paraId="0239328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7555B9B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0A84A5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林箐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338ADD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中国人民解放军九六七九五部队</w:t>
            </w:r>
          </w:p>
        </w:tc>
      </w:tr>
      <w:tr w:rsidR="001D7E97" w14:paraId="7835BBE8" w14:textId="77777777" w:rsidTr="001D7E97">
        <w:tc>
          <w:tcPr>
            <w:tcW w:w="717" w:type="dxa"/>
            <w:shd w:val="clear" w:color="auto" w:fill="auto"/>
            <w:vAlign w:val="center"/>
          </w:tcPr>
          <w:p w14:paraId="009671D4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lastRenderedPageBreak/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69976F5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8755D8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张婷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79922F8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北京夸克侠科技有限公司</w:t>
            </w:r>
          </w:p>
        </w:tc>
      </w:tr>
      <w:tr w:rsidR="001D7E97" w14:paraId="73543BFD" w14:textId="77777777" w:rsidTr="001D7E97">
        <w:tc>
          <w:tcPr>
            <w:tcW w:w="717" w:type="dxa"/>
            <w:shd w:val="clear" w:color="auto" w:fill="auto"/>
            <w:vAlign w:val="center"/>
          </w:tcPr>
          <w:p w14:paraId="4076B54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5156AB1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2219190014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1AAD27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杨阳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1598BC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曼迪匹艾（北京）科技服务有限公司</w:t>
            </w:r>
          </w:p>
        </w:tc>
      </w:tr>
      <w:tr w:rsidR="001D7E97" w14:paraId="0BF5C5DA" w14:textId="77777777" w:rsidTr="001D7E97">
        <w:tc>
          <w:tcPr>
            <w:tcW w:w="717" w:type="dxa"/>
            <w:shd w:val="clear" w:color="auto" w:fill="auto"/>
            <w:vAlign w:val="center"/>
          </w:tcPr>
          <w:p w14:paraId="018E4BE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B03960B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2119190012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3A000C2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李娜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C49F2D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中国重型汽车集团有限公司</w:t>
            </w:r>
          </w:p>
        </w:tc>
      </w:tr>
      <w:tr w:rsidR="001D7E97" w14:paraId="0375A3A3" w14:textId="77777777" w:rsidTr="001D7E97">
        <w:tc>
          <w:tcPr>
            <w:tcW w:w="717" w:type="dxa"/>
            <w:shd w:val="clear" w:color="auto" w:fill="auto"/>
            <w:vAlign w:val="center"/>
          </w:tcPr>
          <w:p w14:paraId="6EB3E1F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5F062D4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20C0500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白雪琛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228D4B9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中诚信国际信用评级有限责任公司</w:t>
            </w:r>
          </w:p>
        </w:tc>
      </w:tr>
      <w:tr w:rsidR="001D7E97" w14:paraId="25698379" w14:textId="77777777" w:rsidTr="001D7E97">
        <w:tc>
          <w:tcPr>
            <w:tcW w:w="717" w:type="dxa"/>
            <w:shd w:val="clear" w:color="auto" w:fill="auto"/>
            <w:vAlign w:val="center"/>
          </w:tcPr>
          <w:p w14:paraId="5313634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9D57EEE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E7330E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张超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427C97D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首都医科大学</w:t>
            </w:r>
          </w:p>
        </w:tc>
      </w:tr>
      <w:tr w:rsidR="001D7E97" w14:paraId="2B774EB3" w14:textId="77777777" w:rsidTr="001D7E97">
        <w:tc>
          <w:tcPr>
            <w:tcW w:w="717" w:type="dxa"/>
            <w:shd w:val="clear" w:color="auto" w:fill="auto"/>
            <w:vAlign w:val="center"/>
          </w:tcPr>
          <w:p w14:paraId="5BE5823C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EC22A5E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9E00135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杨玉吟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19B3CC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北京市石景山区社会保险事业管理中心</w:t>
            </w:r>
          </w:p>
        </w:tc>
      </w:tr>
      <w:tr w:rsidR="001D7E97" w14:paraId="3B649D39" w14:textId="77777777" w:rsidTr="001D7E97">
        <w:tc>
          <w:tcPr>
            <w:tcW w:w="717" w:type="dxa"/>
            <w:shd w:val="clear" w:color="auto" w:fill="auto"/>
            <w:vAlign w:val="center"/>
          </w:tcPr>
          <w:p w14:paraId="1B12E98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F963C08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2119190001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189E42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熊小治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201D567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长江证券股份有限公司</w:t>
            </w:r>
          </w:p>
        </w:tc>
      </w:tr>
      <w:tr w:rsidR="001D7E97" w14:paraId="43BB8D6D" w14:textId="77777777" w:rsidTr="001D7E97">
        <w:tc>
          <w:tcPr>
            <w:tcW w:w="717" w:type="dxa"/>
            <w:shd w:val="clear" w:color="auto" w:fill="auto"/>
            <w:vAlign w:val="center"/>
          </w:tcPr>
          <w:p w14:paraId="1DF059A8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8AC37D5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2119190025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1E6A9E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张锟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9105C8E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北京恒安嘉新安全技术有限公司</w:t>
            </w:r>
          </w:p>
        </w:tc>
      </w:tr>
      <w:tr w:rsidR="001D7E97" w14:paraId="1AEFEEEB" w14:textId="77777777" w:rsidTr="001D7E97">
        <w:tc>
          <w:tcPr>
            <w:tcW w:w="717" w:type="dxa"/>
            <w:shd w:val="clear" w:color="auto" w:fill="auto"/>
            <w:vAlign w:val="center"/>
          </w:tcPr>
          <w:p w14:paraId="0D2D6046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0D31075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2219190025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C2B26BA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蒋佳恬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7E799FA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大竹县县长热线办公室</w:t>
            </w:r>
          </w:p>
        </w:tc>
      </w:tr>
      <w:tr w:rsidR="001D7E97" w14:paraId="203AEA95" w14:textId="77777777" w:rsidTr="001D7E97">
        <w:tc>
          <w:tcPr>
            <w:tcW w:w="717" w:type="dxa"/>
            <w:shd w:val="clear" w:color="auto" w:fill="auto"/>
            <w:vAlign w:val="center"/>
          </w:tcPr>
          <w:p w14:paraId="01AD680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47D2A16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2219190016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0C481C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刘欢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DB2D24F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无锡数信互融科技发展有限公司</w:t>
            </w:r>
          </w:p>
        </w:tc>
      </w:tr>
      <w:tr w:rsidR="001D7E97" w14:paraId="141AB6CC" w14:textId="77777777" w:rsidTr="001D7E97">
        <w:tc>
          <w:tcPr>
            <w:tcW w:w="717" w:type="dxa"/>
            <w:shd w:val="clear" w:color="auto" w:fill="auto"/>
            <w:vAlign w:val="center"/>
          </w:tcPr>
          <w:p w14:paraId="0F4618DB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eastAsia="等线"/>
                <w:color w:val="000000"/>
                <w:kern w:val="0"/>
                <w:sz w:val="22"/>
                <w:lang w:bidi="ar"/>
              </w:rPr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F3446AA" w14:textId="77777777" w:rsidR="001D7E97" w:rsidRDefault="001D7E97" w:rsidP="00DD4BF1">
            <w:pPr>
              <w:widowControl/>
              <w:spacing w:line="360" w:lineRule="auto"/>
              <w:jc w:val="center"/>
              <w:textAlignment w:val="bottom"/>
            </w:pPr>
            <w:r w:rsidRPr="00C4614D">
              <w:rPr>
                <w:rFonts w:eastAsia="等线"/>
                <w:color w:val="000000"/>
                <w:kern w:val="0"/>
                <w:sz w:val="22"/>
                <w:lang w:bidi="ar"/>
              </w:rPr>
              <w:t>2119200009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387B352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王秋雅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7F744E3" w14:textId="77777777" w:rsidR="001D7E97" w:rsidRPr="00C4614D" w:rsidRDefault="001D7E97" w:rsidP="00DD4BF1">
            <w:pPr>
              <w:widowControl/>
              <w:spacing w:line="360" w:lineRule="auto"/>
              <w:jc w:val="center"/>
              <w:textAlignment w:val="bottom"/>
              <w:rPr>
                <w:rFonts w:ascii="等线 Light" w:eastAsia="等线 Light" w:hAnsi="等线 Light" w:cs="等线 Light"/>
                <w:szCs w:val="21"/>
              </w:rPr>
            </w:pPr>
            <w:r w:rsidRPr="00C4614D">
              <w:rPr>
                <w:rFonts w:ascii="等线 Light" w:eastAsia="等线 Light" w:hAnsi="等线 Light" w:cs="等线 Light" w:hint="eastAsia"/>
                <w:color w:val="000000"/>
                <w:kern w:val="0"/>
                <w:szCs w:val="21"/>
                <w:lang w:bidi="ar"/>
              </w:rPr>
              <w:t>中移动信息技术有限公司</w:t>
            </w:r>
          </w:p>
        </w:tc>
      </w:tr>
    </w:tbl>
    <w:p w14:paraId="62F64CE3" w14:textId="77777777" w:rsidR="001D7E97" w:rsidRPr="001D7E97" w:rsidRDefault="001D7E97" w:rsidP="00DD4BF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9B7231F" w14:textId="34AE7F22" w:rsidR="00EB623B" w:rsidRPr="00764BC8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764BC8">
        <w:rPr>
          <w:rFonts w:ascii="黑体" w:eastAsia="黑体" w:hAnsi="黑体"/>
          <w:sz w:val="24"/>
          <w:szCs w:val="24"/>
        </w:rPr>
        <w:t>3.师资队伍建设</w:t>
      </w:r>
    </w:p>
    <w:p w14:paraId="51CB0AF1" w14:textId="77777777" w:rsidR="00EB623B" w:rsidRPr="00764BC8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764BC8">
        <w:rPr>
          <w:rFonts w:ascii="黑体" w:eastAsia="黑体" w:hAnsi="黑体"/>
          <w:sz w:val="24"/>
          <w:szCs w:val="24"/>
        </w:rPr>
        <w:t>3.1 师德师风建设情况</w:t>
      </w:r>
    </w:p>
    <w:p w14:paraId="756F9F9B" w14:textId="77E077D1" w:rsidR="00EB623B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本年度展开</w:t>
      </w:r>
      <w:r w:rsidRPr="00B873AF">
        <w:rPr>
          <w:rFonts w:ascii="宋体" w:eastAsia="宋体" w:hAnsi="宋体"/>
          <w:sz w:val="24"/>
          <w:szCs w:val="24"/>
        </w:rPr>
        <w:t>全院</w:t>
      </w:r>
      <w:r>
        <w:rPr>
          <w:rFonts w:ascii="宋体" w:eastAsia="宋体" w:hAnsi="宋体" w:hint="eastAsia"/>
          <w:sz w:val="24"/>
          <w:szCs w:val="24"/>
        </w:rPr>
        <w:t>师德师风</w:t>
      </w:r>
      <w:r w:rsidRPr="00B873AF">
        <w:rPr>
          <w:rFonts w:ascii="宋体" w:eastAsia="宋体" w:hAnsi="宋体" w:hint="eastAsia"/>
          <w:sz w:val="24"/>
          <w:szCs w:val="24"/>
        </w:rPr>
        <w:t>教育</w:t>
      </w:r>
      <w:r>
        <w:rPr>
          <w:rFonts w:ascii="宋体" w:eastAsia="宋体" w:hAnsi="宋体" w:hint="eastAsia"/>
          <w:sz w:val="24"/>
          <w:szCs w:val="24"/>
        </w:rPr>
        <w:t>两次</w:t>
      </w:r>
      <w:r w:rsidRPr="00B873AF">
        <w:rPr>
          <w:rFonts w:ascii="宋体" w:eastAsia="宋体" w:hAnsi="宋体" w:hint="eastAsia"/>
          <w:sz w:val="24"/>
          <w:szCs w:val="24"/>
        </w:rPr>
        <w:t>，将教师思想政治和师德师风建设作为重要任务</w:t>
      </w:r>
      <w:r>
        <w:rPr>
          <w:rFonts w:ascii="宋体" w:eastAsia="宋体" w:hAnsi="宋体" w:hint="eastAsia"/>
          <w:sz w:val="24"/>
          <w:szCs w:val="24"/>
        </w:rPr>
        <w:t>，要求教师认真开展课程思政建设。对于疫情期间表现突出者，年底考核评优</w:t>
      </w:r>
      <w:r w:rsidRPr="00B873AF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继续将师德作为职称晋升考评制度，实行师德一票否决制。</w:t>
      </w:r>
    </w:p>
    <w:p w14:paraId="564AF844" w14:textId="77777777" w:rsidR="00EB623B" w:rsidRPr="006E5D5C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6E5D5C">
        <w:rPr>
          <w:rFonts w:ascii="黑体" w:eastAsia="黑体" w:hAnsi="黑体"/>
          <w:sz w:val="24"/>
          <w:szCs w:val="24"/>
        </w:rPr>
        <w:t>3.2 教师/导师队伍建设与结构</w:t>
      </w:r>
    </w:p>
    <w:p w14:paraId="15232564" w14:textId="60CCE1E6" w:rsidR="00EB623B" w:rsidRPr="00764BC8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BC8">
        <w:rPr>
          <w:rFonts w:ascii="宋体" w:eastAsia="宋体" w:hAnsi="宋体"/>
          <w:sz w:val="24"/>
          <w:szCs w:val="24"/>
        </w:rPr>
        <w:t>截止202</w:t>
      </w:r>
      <w:r w:rsidR="001D7E97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</w:t>
      </w:r>
      <w:r w:rsidRPr="00764BC8">
        <w:rPr>
          <w:rFonts w:ascii="宋体" w:eastAsia="宋体" w:hAnsi="宋体"/>
          <w:sz w:val="24"/>
          <w:szCs w:val="24"/>
        </w:rPr>
        <w:t>12月，</w:t>
      </w:r>
      <w:r w:rsidR="001D7E97">
        <w:rPr>
          <w:rFonts w:ascii="宋体" w:eastAsia="宋体" w:hAnsi="宋体" w:hint="eastAsia"/>
          <w:sz w:val="24"/>
          <w:szCs w:val="24"/>
        </w:rPr>
        <w:t>拥</w:t>
      </w:r>
      <w:r w:rsidRPr="00764BC8">
        <w:rPr>
          <w:rFonts w:ascii="宋体" w:eastAsia="宋体" w:hAnsi="宋体" w:hint="eastAsia"/>
          <w:sz w:val="24"/>
          <w:szCs w:val="24"/>
        </w:rPr>
        <w:t>有专任</w:t>
      </w:r>
      <w:r>
        <w:rPr>
          <w:rFonts w:ascii="宋体" w:eastAsia="宋体" w:hAnsi="宋体" w:hint="eastAsia"/>
          <w:sz w:val="24"/>
          <w:szCs w:val="24"/>
        </w:rPr>
        <w:t>教师3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人，其中教授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人，副教授</w:t>
      </w:r>
      <w:r>
        <w:rPr>
          <w:rFonts w:ascii="宋体" w:eastAsia="宋体" w:hAnsi="宋体"/>
          <w:sz w:val="24"/>
          <w:szCs w:val="24"/>
        </w:rPr>
        <w:t>1</w:t>
      </w:r>
      <w:r w:rsidR="001D7E97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人,具有博士学位教师有</w:t>
      </w:r>
      <w:r>
        <w:rPr>
          <w:rFonts w:ascii="宋体" w:eastAsia="宋体" w:hAnsi="宋体"/>
          <w:sz w:val="24"/>
          <w:szCs w:val="24"/>
        </w:rPr>
        <w:t>29</w:t>
      </w:r>
      <w:r>
        <w:rPr>
          <w:rFonts w:ascii="宋体" w:eastAsia="宋体" w:hAnsi="宋体" w:hint="eastAsia"/>
          <w:sz w:val="24"/>
          <w:szCs w:val="24"/>
        </w:rPr>
        <w:t>人，</w:t>
      </w:r>
      <w:r>
        <w:rPr>
          <w:rFonts w:ascii="宋体" w:eastAsia="宋体" w:hAnsi="宋体"/>
          <w:sz w:val="24"/>
          <w:szCs w:val="24"/>
        </w:rPr>
        <w:t>1</w:t>
      </w:r>
      <w:r w:rsidR="00A35DCD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人</w:t>
      </w:r>
      <w:r w:rsidRPr="00764BC8">
        <w:rPr>
          <w:rFonts w:ascii="宋体" w:eastAsia="宋体" w:hAnsi="宋体"/>
          <w:sz w:val="24"/>
          <w:szCs w:val="24"/>
        </w:rPr>
        <w:t>具有</w:t>
      </w:r>
      <w:r>
        <w:rPr>
          <w:rFonts w:ascii="宋体" w:eastAsia="宋体" w:hAnsi="宋体" w:hint="eastAsia"/>
          <w:sz w:val="24"/>
          <w:szCs w:val="24"/>
        </w:rPr>
        <w:t>一年以上</w:t>
      </w:r>
      <w:r w:rsidRPr="00764BC8">
        <w:rPr>
          <w:rFonts w:ascii="宋体" w:eastAsia="宋体" w:hAnsi="宋体"/>
          <w:sz w:val="24"/>
          <w:szCs w:val="24"/>
        </w:rPr>
        <w:t>海外留学经历。</w:t>
      </w:r>
      <w:r w:rsidRPr="00764BC8">
        <w:rPr>
          <w:rFonts w:ascii="宋体" w:eastAsia="宋体" w:hAnsi="宋体" w:hint="eastAsia"/>
          <w:sz w:val="24"/>
          <w:szCs w:val="24"/>
        </w:rPr>
        <w:t>硕士</w:t>
      </w:r>
      <w:r>
        <w:rPr>
          <w:rFonts w:ascii="宋体" w:eastAsia="宋体" w:hAnsi="宋体" w:hint="eastAsia"/>
          <w:sz w:val="24"/>
          <w:szCs w:val="24"/>
        </w:rPr>
        <w:t>生</w:t>
      </w:r>
      <w:r w:rsidRPr="00764BC8">
        <w:rPr>
          <w:rFonts w:ascii="宋体" w:eastAsia="宋体" w:hAnsi="宋体"/>
          <w:sz w:val="24"/>
          <w:szCs w:val="24"/>
        </w:rPr>
        <w:t>导师</w:t>
      </w:r>
      <w:r w:rsidR="00A35DCD">
        <w:rPr>
          <w:rFonts w:ascii="宋体" w:eastAsia="宋体" w:hAnsi="宋体" w:hint="eastAsia"/>
          <w:sz w:val="24"/>
          <w:szCs w:val="24"/>
        </w:rPr>
        <w:t>2</w:t>
      </w:r>
      <w:r w:rsidRPr="00764BC8">
        <w:rPr>
          <w:rFonts w:ascii="宋体" w:eastAsia="宋体" w:hAnsi="宋体" w:hint="eastAsia"/>
          <w:sz w:val="24"/>
          <w:szCs w:val="24"/>
        </w:rPr>
        <w:t>1</w:t>
      </w:r>
      <w:r w:rsidRPr="00764BC8">
        <w:rPr>
          <w:rFonts w:ascii="宋体" w:eastAsia="宋体" w:hAnsi="宋体"/>
          <w:sz w:val="24"/>
          <w:szCs w:val="24"/>
        </w:rPr>
        <w:t>人，</w:t>
      </w:r>
      <w:r w:rsidR="00A35DCD">
        <w:rPr>
          <w:rFonts w:ascii="宋体" w:eastAsia="宋体" w:hAnsi="宋体" w:hint="eastAsia"/>
          <w:sz w:val="24"/>
          <w:szCs w:val="24"/>
        </w:rPr>
        <w:t>博士生导师8人，其中新增硕士生导师3人，</w:t>
      </w:r>
      <w:r>
        <w:rPr>
          <w:rFonts w:ascii="宋体" w:eastAsia="宋体" w:hAnsi="宋体" w:hint="eastAsia"/>
          <w:sz w:val="24"/>
          <w:szCs w:val="24"/>
        </w:rPr>
        <w:t>新增博士生导师</w:t>
      </w:r>
      <w:r w:rsidR="00A35DCD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人。</w:t>
      </w:r>
    </w:p>
    <w:p w14:paraId="005E3B42" w14:textId="77777777" w:rsidR="00EB623B" w:rsidRPr="006E5D5C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6E5D5C">
        <w:rPr>
          <w:rFonts w:ascii="黑体" w:eastAsia="黑体" w:hAnsi="黑体"/>
          <w:sz w:val="24"/>
          <w:szCs w:val="24"/>
        </w:rPr>
        <w:t xml:space="preserve">3.3 导师选拔培训和责任落实情况 </w:t>
      </w:r>
    </w:p>
    <w:p w14:paraId="3A1402DB" w14:textId="151B51F7" w:rsidR="00EB623B" w:rsidRPr="00764BC8" w:rsidRDefault="00EB623B" w:rsidP="00DD4B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新任导师和校外导师选拔，严格按照学校选聘条件相关文件《</w:t>
      </w:r>
      <w:r w:rsidRPr="00B01F44">
        <w:rPr>
          <w:rFonts w:ascii="宋体" w:eastAsia="宋体" w:hAnsi="宋体" w:hint="eastAsia"/>
          <w:sz w:val="24"/>
          <w:szCs w:val="24"/>
        </w:rPr>
        <w:t>中国地质大学（北京）研究生指导教师选聘办法</w:t>
      </w:r>
      <w:r>
        <w:rPr>
          <w:rFonts w:ascii="宋体" w:eastAsia="宋体" w:hAnsi="宋体" w:hint="eastAsia"/>
          <w:sz w:val="24"/>
          <w:szCs w:val="24"/>
        </w:rPr>
        <w:t>》（</w:t>
      </w:r>
      <w:r w:rsidRPr="00ED1CDF">
        <w:rPr>
          <w:rFonts w:ascii="宋体" w:eastAsia="宋体" w:hAnsi="宋体" w:hint="eastAsia"/>
          <w:sz w:val="24"/>
          <w:szCs w:val="24"/>
        </w:rPr>
        <w:t>中地大京发［</w:t>
      </w:r>
      <w:r w:rsidRPr="00ED1CDF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0</w:t>
      </w:r>
      <w:r w:rsidRPr="00ED1CDF">
        <w:rPr>
          <w:rFonts w:ascii="宋体" w:eastAsia="宋体" w:hAnsi="宋体"/>
          <w:sz w:val="24"/>
          <w:szCs w:val="24"/>
        </w:rPr>
        <w:t>］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0</w:t>
      </w:r>
      <w:r w:rsidRPr="00ED1CDF">
        <w:rPr>
          <w:rFonts w:ascii="宋体" w:eastAsia="宋体" w:hAnsi="宋体"/>
          <w:sz w:val="24"/>
          <w:szCs w:val="24"/>
        </w:rPr>
        <w:t>号</w:t>
      </w:r>
      <w:r>
        <w:rPr>
          <w:rFonts w:ascii="宋体" w:eastAsia="宋体" w:hAnsi="宋体" w:hint="eastAsia"/>
          <w:sz w:val="24"/>
          <w:szCs w:val="24"/>
        </w:rPr>
        <w:t>）执行，对教师师德师风、学术水平等严格把关，最后由研究生院审核通过。本年度</w:t>
      </w:r>
      <w:r w:rsidRPr="00764BC8">
        <w:rPr>
          <w:rFonts w:ascii="宋体" w:eastAsia="宋体" w:hAnsi="宋体"/>
          <w:sz w:val="24"/>
          <w:szCs w:val="24"/>
        </w:rPr>
        <w:t>新增</w:t>
      </w:r>
      <w:r>
        <w:rPr>
          <w:rFonts w:ascii="宋体" w:eastAsia="宋体" w:hAnsi="宋体"/>
          <w:sz w:val="24"/>
          <w:szCs w:val="24"/>
        </w:rPr>
        <w:t>3</w:t>
      </w:r>
      <w:r w:rsidRPr="00764BC8">
        <w:rPr>
          <w:rFonts w:ascii="宋体" w:eastAsia="宋体" w:hAnsi="宋体"/>
          <w:sz w:val="24"/>
          <w:szCs w:val="24"/>
        </w:rPr>
        <w:t>位校内硕士生导师。</w:t>
      </w:r>
      <w:r>
        <w:rPr>
          <w:rFonts w:ascii="宋体" w:eastAsia="宋体" w:hAnsi="宋体" w:hint="eastAsia"/>
          <w:sz w:val="24"/>
          <w:szCs w:val="24"/>
        </w:rPr>
        <w:t>对于新任导师，研究生院和学院每年进行新任导师相关培训。 强调</w:t>
      </w:r>
      <w:r w:rsidRPr="00764BC8">
        <w:rPr>
          <w:rFonts w:ascii="宋体" w:eastAsia="宋体" w:hAnsi="宋体"/>
          <w:sz w:val="24"/>
          <w:szCs w:val="24"/>
        </w:rPr>
        <w:t>研究生导师是研究生培养的第一责任人、学业发展的指导者、人生发展的引路人。</w:t>
      </w:r>
      <w:r>
        <w:rPr>
          <w:rFonts w:ascii="宋体" w:eastAsia="宋体" w:hAnsi="宋体" w:hint="eastAsia"/>
          <w:sz w:val="24"/>
          <w:szCs w:val="24"/>
        </w:rPr>
        <w:t>学院对导师提出要求：一是珍惜</w:t>
      </w:r>
      <w:r w:rsidRPr="00764BC8">
        <w:rPr>
          <w:rFonts w:ascii="宋体" w:eastAsia="宋体" w:hAnsi="宋体"/>
          <w:sz w:val="24"/>
          <w:szCs w:val="24"/>
        </w:rPr>
        <w:t>导师工作的责任感和荣誉感</w:t>
      </w:r>
      <w:r>
        <w:rPr>
          <w:rFonts w:ascii="宋体" w:eastAsia="宋体" w:hAnsi="宋体" w:hint="eastAsia"/>
          <w:sz w:val="24"/>
          <w:szCs w:val="24"/>
        </w:rPr>
        <w:t>，导师是学生的第一责任人</w:t>
      </w:r>
      <w:r w:rsidRPr="00764BC8">
        <w:rPr>
          <w:rFonts w:ascii="宋体" w:eastAsia="宋体" w:hAnsi="宋体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>二是</w:t>
      </w:r>
      <w:r w:rsidRPr="00764BC8">
        <w:rPr>
          <w:rFonts w:ascii="宋体" w:eastAsia="宋体" w:hAnsi="宋体"/>
          <w:sz w:val="24"/>
          <w:szCs w:val="24"/>
        </w:rPr>
        <w:t xml:space="preserve">加强对规章制度、师德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64BC8">
        <w:rPr>
          <w:rFonts w:ascii="宋体" w:eastAsia="宋体" w:hAnsi="宋体"/>
          <w:sz w:val="24"/>
          <w:szCs w:val="24"/>
        </w:rPr>
        <w:t>师风、专业领域及社会前沿的不断学</w:t>
      </w:r>
      <w:r w:rsidRPr="00764BC8">
        <w:rPr>
          <w:rFonts w:ascii="宋体" w:eastAsia="宋体" w:hAnsi="宋体"/>
          <w:sz w:val="24"/>
          <w:szCs w:val="24"/>
        </w:rPr>
        <w:lastRenderedPageBreak/>
        <w:t>习；</w:t>
      </w:r>
      <w:r>
        <w:rPr>
          <w:rFonts w:ascii="宋体" w:eastAsia="宋体" w:hAnsi="宋体" w:hint="eastAsia"/>
          <w:sz w:val="24"/>
          <w:szCs w:val="24"/>
        </w:rPr>
        <w:t>三是对学生</w:t>
      </w:r>
      <w:r w:rsidRPr="00764BC8">
        <w:rPr>
          <w:rFonts w:ascii="宋体" w:eastAsia="宋体" w:hAnsi="宋体"/>
          <w:sz w:val="24"/>
          <w:szCs w:val="24"/>
        </w:rPr>
        <w:t>在学术上严格要求，生活上关心</w:t>
      </w:r>
      <w:r>
        <w:rPr>
          <w:rFonts w:ascii="宋体" w:eastAsia="宋体" w:hAnsi="宋体" w:hint="eastAsia"/>
          <w:sz w:val="24"/>
          <w:szCs w:val="24"/>
        </w:rPr>
        <w:t>爱护</w:t>
      </w:r>
      <w:r w:rsidRPr="00764BC8">
        <w:rPr>
          <w:rFonts w:ascii="宋体" w:eastAsia="宋体" w:hAnsi="宋体"/>
          <w:sz w:val="24"/>
          <w:szCs w:val="24"/>
        </w:rPr>
        <w:t>。</w:t>
      </w:r>
    </w:p>
    <w:p w14:paraId="2CBE6806" w14:textId="77777777" w:rsidR="00EB623B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C81887">
        <w:rPr>
          <w:rFonts w:ascii="黑体" w:eastAsia="黑体" w:hAnsi="黑体" w:hint="eastAsia"/>
          <w:sz w:val="24"/>
          <w:szCs w:val="24"/>
        </w:rPr>
        <w:t>3</w:t>
      </w:r>
      <w:r w:rsidRPr="00C81887">
        <w:rPr>
          <w:rFonts w:ascii="黑体" w:eastAsia="黑体" w:hAnsi="黑体"/>
          <w:sz w:val="24"/>
          <w:szCs w:val="24"/>
        </w:rPr>
        <w:t xml:space="preserve">.4 </w:t>
      </w:r>
      <w:r w:rsidRPr="00C81887">
        <w:rPr>
          <w:rFonts w:ascii="黑体" w:eastAsia="黑体" w:hAnsi="黑体" w:hint="eastAsia"/>
          <w:sz w:val="24"/>
          <w:szCs w:val="24"/>
        </w:rPr>
        <w:t>科学研究</w:t>
      </w:r>
    </w:p>
    <w:p w14:paraId="1FA97597" w14:textId="4B2A57BF" w:rsidR="00EB623B" w:rsidRDefault="00EB623B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本年度，新增纵向科研项目</w:t>
      </w:r>
      <w:r w:rsidR="00A35DCD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项，共</w:t>
      </w:r>
      <w:r w:rsidR="00A35DCD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万，新增横向项目</w:t>
      </w:r>
      <w:r w:rsidR="00A35DCD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项，共1</w:t>
      </w:r>
      <w:r w:rsidR="00A35DCD">
        <w:rPr>
          <w:rFonts w:ascii="宋体" w:eastAsia="宋体" w:hAnsi="宋体"/>
          <w:sz w:val="24"/>
          <w:szCs w:val="24"/>
        </w:rPr>
        <w:t>60</w:t>
      </w:r>
      <w:r>
        <w:rPr>
          <w:rFonts w:ascii="宋体" w:eastAsia="宋体" w:hAnsi="宋体" w:hint="eastAsia"/>
          <w:sz w:val="24"/>
          <w:szCs w:val="24"/>
        </w:rPr>
        <w:t>万</w:t>
      </w:r>
      <w:r w:rsidR="00A35DCD">
        <w:rPr>
          <w:rFonts w:ascii="宋体" w:eastAsia="宋体" w:hAnsi="宋体" w:hint="eastAsia"/>
          <w:sz w:val="24"/>
          <w:szCs w:val="24"/>
        </w:rPr>
        <w:t>，在研项目共</w:t>
      </w:r>
      <w:r w:rsidR="00E23D57">
        <w:rPr>
          <w:rFonts w:ascii="宋体" w:eastAsia="宋体" w:hAnsi="宋体"/>
          <w:sz w:val="24"/>
          <w:szCs w:val="24"/>
        </w:rPr>
        <w:t>23</w:t>
      </w:r>
      <w:r w:rsidR="00A35DCD">
        <w:rPr>
          <w:rFonts w:ascii="宋体" w:eastAsia="宋体" w:hAnsi="宋体" w:hint="eastAsia"/>
          <w:sz w:val="24"/>
          <w:szCs w:val="24"/>
        </w:rPr>
        <w:t>项</w:t>
      </w:r>
      <w:r w:rsidR="00321011">
        <w:rPr>
          <w:rFonts w:ascii="宋体" w:eastAsia="宋体" w:hAnsi="宋体" w:hint="eastAsia"/>
          <w:sz w:val="24"/>
          <w:szCs w:val="24"/>
        </w:rPr>
        <w:t>；</w:t>
      </w:r>
      <w:r w:rsidR="00A35DCD">
        <w:rPr>
          <w:rFonts w:ascii="宋体" w:eastAsia="宋体" w:hAnsi="宋体" w:hint="eastAsia"/>
          <w:sz w:val="24"/>
          <w:szCs w:val="24"/>
        </w:rPr>
        <w:t>获批专利5项，其中有一项专利实现数学学科首个成果转化专利，共5</w:t>
      </w:r>
      <w:r w:rsidR="00A35DCD">
        <w:rPr>
          <w:rFonts w:ascii="宋体" w:eastAsia="宋体" w:hAnsi="宋体"/>
          <w:sz w:val="24"/>
          <w:szCs w:val="24"/>
        </w:rPr>
        <w:t>0</w:t>
      </w:r>
      <w:r w:rsidR="00A35DCD">
        <w:rPr>
          <w:rFonts w:ascii="宋体" w:eastAsia="宋体" w:hAnsi="宋体" w:hint="eastAsia"/>
          <w:sz w:val="24"/>
          <w:szCs w:val="24"/>
        </w:rPr>
        <w:t>万</w:t>
      </w:r>
      <w:r w:rsidR="00321011"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>教师发表科研论文</w:t>
      </w:r>
      <w:r w:rsidR="00E23D57">
        <w:rPr>
          <w:rFonts w:ascii="宋体" w:eastAsia="宋体" w:hAnsi="宋体" w:hint="eastAsia"/>
          <w:sz w:val="24"/>
          <w:szCs w:val="24"/>
        </w:rPr>
        <w:t>2</w:t>
      </w:r>
      <w:r w:rsidR="00E23D57">
        <w:rPr>
          <w:rFonts w:ascii="宋体" w:eastAsia="宋体" w:hAnsi="宋体"/>
          <w:sz w:val="24"/>
          <w:szCs w:val="24"/>
        </w:rPr>
        <w:t>2</w:t>
      </w:r>
      <w:r w:rsidR="00E23D57">
        <w:rPr>
          <w:rFonts w:ascii="宋体" w:eastAsia="宋体" w:hAnsi="宋体" w:hint="eastAsia"/>
          <w:sz w:val="24"/>
          <w:szCs w:val="24"/>
        </w:rPr>
        <w:t>篇</w:t>
      </w:r>
      <w:r w:rsidR="00321011">
        <w:rPr>
          <w:rFonts w:ascii="宋体" w:eastAsia="宋体" w:hAnsi="宋体" w:hint="eastAsia"/>
          <w:sz w:val="24"/>
          <w:szCs w:val="24"/>
        </w:rPr>
        <w:t>；本年度发表专著1部。</w:t>
      </w:r>
    </w:p>
    <w:p w14:paraId="699516DF" w14:textId="34816034" w:rsidR="00E23D57" w:rsidRDefault="00E23D57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bookmarkStart w:id="0" w:name="_Hlk150091229"/>
      <w:bookmarkStart w:id="1" w:name="_Hlk150090271"/>
      <w:r w:rsidRPr="00E23D57">
        <w:rPr>
          <w:rFonts w:ascii="黑体" w:eastAsia="黑体" w:hAnsi="黑体" w:hint="eastAsia"/>
          <w:sz w:val="24"/>
          <w:szCs w:val="24"/>
        </w:rPr>
        <w:t>3</w:t>
      </w:r>
      <w:r w:rsidRPr="00E23D57">
        <w:rPr>
          <w:rFonts w:ascii="黑体" w:eastAsia="黑体" w:hAnsi="黑体"/>
          <w:sz w:val="24"/>
          <w:szCs w:val="24"/>
        </w:rPr>
        <w:t>.</w:t>
      </w:r>
      <w:r w:rsidR="00C111EC">
        <w:rPr>
          <w:rFonts w:ascii="黑体" w:eastAsia="黑体" w:hAnsi="黑体"/>
          <w:sz w:val="24"/>
          <w:szCs w:val="24"/>
        </w:rPr>
        <w:t>5</w:t>
      </w:r>
      <w:r w:rsidRPr="00E23D57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教研教改及获奖</w:t>
      </w:r>
    </w:p>
    <w:p w14:paraId="2CC29A41" w14:textId="17B2E672" w:rsidR="00E23D57" w:rsidRDefault="00E23D57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E23D57">
        <w:rPr>
          <w:rFonts w:ascii="宋体" w:eastAsia="宋体" w:hAnsi="宋体" w:hint="eastAsia"/>
          <w:sz w:val="24"/>
          <w:szCs w:val="24"/>
        </w:rPr>
        <w:t>鼓励教师参与教学改革</w:t>
      </w:r>
      <w:r>
        <w:rPr>
          <w:rFonts w:ascii="宋体" w:eastAsia="宋体" w:hAnsi="宋体" w:hint="eastAsia"/>
          <w:sz w:val="24"/>
          <w:szCs w:val="24"/>
        </w:rPr>
        <w:t>，本年度新增高等教育学会教学改革项目3项（省部级）</w:t>
      </w:r>
      <w:r w:rsidR="00321011"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>研究生教学改革项目3项</w:t>
      </w:r>
      <w:r w:rsidR="00321011"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 w:hint="eastAsia"/>
          <w:sz w:val="24"/>
          <w:szCs w:val="24"/>
        </w:rPr>
        <w:t>教师教学能力提升项目</w:t>
      </w:r>
      <w:r w:rsidR="00321011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项。</w:t>
      </w:r>
    </w:p>
    <w:p w14:paraId="487516C4" w14:textId="77777777" w:rsidR="00BB03DF" w:rsidRPr="00E23D57" w:rsidRDefault="00BB03DF" w:rsidP="00DD4BF1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本年度，获</w:t>
      </w:r>
      <w:r w:rsidRPr="006B2E31">
        <w:rPr>
          <w:rFonts w:ascii="宋体" w:eastAsia="宋体" w:hAnsi="宋体" w:hint="eastAsia"/>
          <w:sz w:val="24"/>
          <w:szCs w:val="24"/>
        </w:rPr>
        <w:t>北京市教育教学成果一等奖</w:t>
      </w:r>
      <w:r>
        <w:rPr>
          <w:rFonts w:ascii="宋体" w:eastAsia="宋体" w:hAnsi="宋体" w:hint="eastAsia"/>
          <w:sz w:val="24"/>
          <w:szCs w:val="24"/>
        </w:rPr>
        <w:t>1项;</w:t>
      </w:r>
      <w:r w:rsidRPr="00321011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高世臣教授获</w:t>
      </w:r>
      <w:r w:rsidRPr="006B2E31">
        <w:rPr>
          <w:rFonts w:ascii="宋体" w:eastAsia="宋体" w:hAnsi="宋体" w:hint="eastAsia"/>
          <w:sz w:val="24"/>
          <w:szCs w:val="24"/>
        </w:rPr>
        <w:t>北京市优秀教育工作者</w:t>
      </w:r>
      <w:r>
        <w:rPr>
          <w:rFonts w:ascii="宋体" w:eastAsia="宋体" w:hAnsi="宋体" w:hint="eastAsia"/>
          <w:sz w:val="24"/>
          <w:szCs w:val="24"/>
        </w:rPr>
        <w:t>称号;青年教师许栩获</w:t>
      </w:r>
      <w:r w:rsidRPr="006B2E31">
        <w:rPr>
          <w:rFonts w:ascii="宋体" w:eastAsia="宋体" w:hAnsi="宋体" w:hint="eastAsia"/>
          <w:sz w:val="24"/>
          <w:szCs w:val="24"/>
        </w:rPr>
        <w:t>北京高校第十二届青年教师教学基本功比赛论文比赛奖</w:t>
      </w:r>
      <w:r>
        <w:rPr>
          <w:rFonts w:ascii="宋体" w:eastAsia="宋体" w:hAnsi="宋体" w:hint="eastAsia"/>
          <w:sz w:val="24"/>
          <w:szCs w:val="24"/>
        </w:rPr>
        <w:t>三等奖;青年教师许栩获中国地质大学（北京）第十三届青年教师教学基本功比赛二等奖（第三名）。</w:t>
      </w:r>
      <w:bookmarkEnd w:id="0"/>
    </w:p>
    <w:bookmarkEnd w:id="1"/>
    <w:p w14:paraId="4310D94D" w14:textId="77777777" w:rsidR="00EB623B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F52032">
        <w:rPr>
          <w:rFonts w:ascii="黑体" w:eastAsia="黑体" w:hAnsi="黑体" w:hint="eastAsia"/>
          <w:sz w:val="24"/>
          <w:szCs w:val="24"/>
        </w:rPr>
        <w:t>4下一步学科建设重点任务</w:t>
      </w:r>
    </w:p>
    <w:p w14:paraId="786D48B1" w14:textId="070E0467" w:rsidR="00EB623B" w:rsidRPr="008230B3" w:rsidRDefault="00EB623B" w:rsidP="00DD4BF1">
      <w:pPr>
        <w:spacing w:line="360" w:lineRule="auto"/>
        <w:rPr>
          <w:rFonts w:ascii="宋体" w:eastAsia="宋体" w:hAnsi="宋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（1）</w:t>
      </w:r>
      <w:r w:rsidR="004C514C">
        <w:rPr>
          <w:rFonts w:ascii="宋体" w:eastAsia="宋体" w:hAnsi="宋体" w:hint="eastAsia"/>
          <w:sz w:val="24"/>
          <w:szCs w:val="24"/>
        </w:rPr>
        <w:t>进一步</w:t>
      </w:r>
      <w:r w:rsidRPr="008230B3">
        <w:rPr>
          <w:rFonts w:ascii="宋体" w:eastAsia="宋体" w:hAnsi="宋体"/>
          <w:sz w:val="24"/>
          <w:szCs w:val="24"/>
        </w:rPr>
        <w:t>加强硕士导师队伍建设，</w:t>
      </w:r>
      <w:r w:rsidRPr="008230B3">
        <w:rPr>
          <w:rFonts w:ascii="宋体" w:eastAsia="宋体" w:hAnsi="宋体" w:hint="eastAsia"/>
          <w:sz w:val="24"/>
          <w:szCs w:val="24"/>
        </w:rPr>
        <w:t>引进具有统计、数据背景的人才；</w:t>
      </w:r>
    </w:p>
    <w:p w14:paraId="138AB9D2" w14:textId="02220DAB" w:rsidR="00EB623B" w:rsidRDefault="00EB623B" w:rsidP="00DD4BF1">
      <w:pPr>
        <w:spacing w:line="360" w:lineRule="auto"/>
        <w:rPr>
          <w:rFonts w:ascii="宋体" w:eastAsia="宋体" w:hAnsi="宋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（2）</w:t>
      </w:r>
      <w:r w:rsidR="004C514C">
        <w:rPr>
          <w:rFonts w:ascii="宋体" w:eastAsia="宋体" w:hAnsi="宋体" w:hint="eastAsia"/>
          <w:sz w:val="24"/>
          <w:szCs w:val="24"/>
        </w:rPr>
        <w:t>做好研究生毕业论文审核答辩工作，严格把控学位论文质量，预计所有学生论文全部参与“盲审”，以确保质量；</w:t>
      </w:r>
    </w:p>
    <w:p w14:paraId="118599FD" w14:textId="7A4A22E3" w:rsidR="00F03AB8" w:rsidRPr="008230B3" w:rsidRDefault="00F03AB8" w:rsidP="00DD4BF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（3）帮助学生落实好毕业就业问题；</w:t>
      </w:r>
    </w:p>
    <w:p w14:paraId="78A1887A" w14:textId="77777777" w:rsidR="00F03AB8" w:rsidRDefault="004C514C" w:rsidP="00DD4BF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F03AB8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="00F03AB8">
        <w:rPr>
          <w:rFonts w:ascii="宋体" w:eastAsia="宋体" w:hAnsi="宋体" w:hint="eastAsia"/>
          <w:sz w:val="24"/>
          <w:szCs w:val="24"/>
        </w:rPr>
        <w:t>做好招生宣传工作，确保本专业研究生生源质量；</w:t>
      </w:r>
    </w:p>
    <w:p w14:paraId="78DA5623" w14:textId="360A7BEA" w:rsidR="00EB623B" w:rsidRPr="008230B3" w:rsidRDefault="00EB623B" w:rsidP="00DD4BF1">
      <w:pPr>
        <w:spacing w:line="360" w:lineRule="auto"/>
        <w:rPr>
          <w:rFonts w:ascii="黑体" w:eastAsia="黑体" w:hAnsi="黑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（5）加强</w:t>
      </w:r>
      <w:r w:rsidR="00F03AB8">
        <w:rPr>
          <w:rFonts w:ascii="宋体" w:eastAsia="宋体" w:hAnsi="宋体" w:hint="eastAsia"/>
          <w:sz w:val="24"/>
          <w:szCs w:val="24"/>
        </w:rPr>
        <w:t>校内外</w:t>
      </w:r>
      <w:r w:rsidRPr="008230B3">
        <w:rPr>
          <w:rFonts w:ascii="宋体" w:eastAsia="宋体" w:hAnsi="宋体" w:hint="eastAsia"/>
          <w:sz w:val="24"/>
          <w:szCs w:val="24"/>
        </w:rPr>
        <w:t>交流，</w:t>
      </w:r>
      <w:r w:rsidR="00F03AB8">
        <w:rPr>
          <w:rFonts w:ascii="宋体" w:eastAsia="宋体" w:hAnsi="宋体" w:hint="eastAsia"/>
          <w:sz w:val="24"/>
          <w:szCs w:val="24"/>
        </w:rPr>
        <w:t>做好“请进来，走出去”的工作，鼓励学生参加学术交流作报告，邀请校外专家来校指导。</w:t>
      </w:r>
    </w:p>
    <w:p w14:paraId="6B27640A" w14:textId="77777777" w:rsidR="00EB623B" w:rsidRPr="00F52032" w:rsidRDefault="00EB623B" w:rsidP="00EB623B">
      <w:pPr>
        <w:spacing w:line="288" w:lineRule="auto"/>
        <w:rPr>
          <w:rFonts w:ascii="黑体" w:eastAsia="黑体" w:hAnsi="黑体"/>
          <w:sz w:val="24"/>
          <w:szCs w:val="24"/>
        </w:rPr>
      </w:pPr>
    </w:p>
    <w:p w14:paraId="6135C00D" w14:textId="77777777" w:rsidR="00EB623B" w:rsidRPr="00EC363E" w:rsidRDefault="00EB623B" w:rsidP="00EB623B"/>
    <w:p w14:paraId="417BF946" w14:textId="77777777" w:rsidR="008C569F" w:rsidRPr="00EB623B" w:rsidRDefault="008C569F"/>
    <w:sectPr w:rsidR="008C569F" w:rsidRPr="00EB6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9226" w14:textId="77777777" w:rsidR="007B690C" w:rsidRDefault="007B690C" w:rsidP="00DD4BF1">
      <w:r>
        <w:separator/>
      </w:r>
    </w:p>
  </w:endnote>
  <w:endnote w:type="continuationSeparator" w:id="0">
    <w:p w14:paraId="08F01116" w14:textId="77777777" w:rsidR="007B690C" w:rsidRDefault="007B690C" w:rsidP="00DD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NewRomanPS-BoldMT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2B21" w14:textId="77777777" w:rsidR="007B690C" w:rsidRDefault="007B690C" w:rsidP="00DD4BF1">
      <w:r>
        <w:separator/>
      </w:r>
    </w:p>
  </w:footnote>
  <w:footnote w:type="continuationSeparator" w:id="0">
    <w:p w14:paraId="689DD86D" w14:textId="77777777" w:rsidR="007B690C" w:rsidRDefault="007B690C" w:rsidP="00DD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4B7"/>
    <w:multiLevelType w:val="hybridMultilevel"/>
    <w:tmpl w:val="ECAC01C4"/>
    <w:lvl w:ilvl="0" w:tplc="66CAA978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5823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3B"/>
    <w:rsid w:val="001D7E97"/>
    <w:rsid w:val="002F1B2D"/>
    <w:rsid w:val="00321011"/>
    <w:rsid w:val="00351D13"/>
    <w:rsid w:val="00370A38"/>
    <w:rsid w:val="00471988"/>
    <w:rsid w:val="004C514C"/>
    <w:rsid w:val="005E00EC"/>
    <w:rsid w:val="005E2260"/>
    <w:rsid w:val="006B2E31"/>
    <w:rsid w:val="0076053C"/>
    <w:rsid w:val="007B690C"/>
    <w:rsid w:val="00880415"/>
    <w:rsid w:val="00892E26"/>
    <w:rsid w:val="008C569F"/>
    <w:rsid w:val="009E482B"/>
    <w:rsid w:val="009E79B2"/>
    <w:rsid w:val="00A35DCD"/>
    <w:rsid w:val="00B53E2A"/>
    <w:rsid w:val="00BB03DF"/>
    <w:rsid w:val="00BB7863"/>
    <w:rsid w:val="00BC43A6"/>
    <w:rsid w:val="00C111EC"/>
    <w:rsid w:val="00C41748"/>
    <w:rsid w:val="00C675B8"/>
    <w:rsid w:val="00DA4DA1"/>
    <w:rsid w:val="00DD4BF1"/>
    <w:rsid w:val="00E23D57"/>
    <w:rsid w:val="00EB623B"/>
    <w:rsid w:val="00F03AB8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0E343"/>
  <w15:chartTrackingRefBased/>
  <w15:docId w15:val="{AD9410EA-C16B-4AAB-8520-2DE2B3B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3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D4B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B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凤杰 耿</dc:creator>
  <cp:keywords/>
  <dc:description/>
  <cp:lastModifiedBy>凤杰 耿</cp:lastModifiedBy>
  <cp:revision>10</cp:revision>
  <dcterms:created xsi:type="dcterms:W3CDTF">2023-11-04T19:20:00Z</dcterms:created>
  <dcterms:modified xsi:type="dcterms:W3CDTF">2023-11-05T12:32:00Z</dcterms:modified>
</cp:coreProperties>
</file>